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4776" w14:textId="5C8CF3A4" w:rsidR="008E1E56" w:rsidRPr="005D4286" w:rsidRDefault="00E44462" w:rsidP="00593257">
      <w:pPr>
        <w:pStyle w:val="Heading1"/>
      </w:pPr>
      <w:r w:rsidRPr="003D796D">
        <w:t xml:space="preserve">Oxford School of Anaesthesia </w:t>
      </w:r>
      <w:r w:rsidR="008E1E56" w:rsidRPr="005D6204">
        <w:t>LTFT</w:t>
      </w:r>
      <w:r w:rsidR="0036377C" w:rsidRPr="005D6204">
        <w:t xml:space="preserve"> </w:t>
      </w:r>
      <w:r w:rsidRPr="005D6204">
        <w:t>Guide</w:t>
      </w:r>
      <w:r w:rsidR="00675D14" w:rsidRPr="005D6204">
        <w:t xml:space="preserve"> </w:t>
      </w:r>
      <w:r w:rsidRPr="005D6204">
        <w:t>(</w:t>
      </w:r>
      <w:r w:rsidR="007C263F" w:rsidRPr="005D4286">
        <w:t>October</w:t>
      </w:r>
      <w:r w:rsidR="007C263F" w:rsidRPr="003D796D">
        <w:t xml:space="preserve"> 20</w:t>
      </w:r>
      <w:r w:rsidR="007C263F" w:rsidRPr="005D4286">
        <w:t>21</w:t>
      </w:r>
      <w:r w:rsidRPr="003D796D">
        <w:t>)</w:t>
      </w:r>
    </w:p>
    <w:p w14:paraId="76E36430" w14:textId="77777777" w:rsidR="001F71F1" w:rsidRPr="007C263F" w:rsidRDefault="001F71F1" w:rsidP="00593257"/>
    <w:p w14:paraId="514EDF9D" w14:textId="55C50681" w:rsidR="005F3CAE" w:rsidRPr="005D6204" w:rsidRDefault="003A4E3F" w:rsidP="00593257">
      <w:r w:rsidRPr="005D6204">
        <w:t xml:space="preserve">The </w:t>
      </w:r>
      <w:r w:rsidR="001F71F1" w:rsidRPr="005D6204">
        <w:t xml:space="preserve">Oxford School of Anaesthesia </w:t>
      </w:r>
      <w:r w:rsidRPr="005D6204">
        <w:t>is</w:t>
      </w:r>
      <w:r w:rsidR="000A34D7" w:rsidRPr="005D6204">
        <w:t xml:space="preserve"> </w:t>
      </w:r>
      <w:r w:rsidR="006C08BC" w:rsidRPr="005D6204">
        <w:t>keen to support</w:t>
      </w:r>
      <w:r w:rsidR="002D5E3B" w:rsidRPr="005D6204">
        <w:t xml:space="preserve"> trainees </w:t>
      </w:r>
      <w:r w:rsidR="00950F84" w:rsidRPr="005D6204">
        <w:t>wishing to undertake</w:t>
      </w:r>
      <w:r w:rsidR="002D5E3B" w:rsidRPr="005D6204">
        <w:t xml:space="preserve"> flexible working. This guide (written</w:t>
      </w:r>
      <w:r w:rsidR="007C263F" w:rsidRPr="005D6204">
        <w:t xml:space="preserve"> and </w:t>
      </w:r>
      <w:r w:rsidR="00593257">
        <w:t xml:space="preserve">kept up to date </w:t>
      </w:r>
      <w:r w:rsidR="002D5E3B" w:rsidRPr="005D6204">
        <w:t xml:space="preserve">by </w:t>
      </w:r>
      <w:r w:rsidR="00593257">
        <w:t>OxDAT</w:t>
      </w:r>
      <w:r w:rsidR="002D5E3B" w:rsidRPr="005D6204">
        <w:t xml:space="preserve"> LTFT representatives</w:t>
      </w:r>
      <w:r w:rsidR="00593257">
        <w:t>, approved by the Training Programme Director</w:t>
      </w:r>
      <w:r w:rsidR="002D5E3B" w:rsidRPr="005D6204">
        <w:t xml:space="preserve">) aims to help answer the common questions regarding LTFT working and training in </w:t>
      </w:r>
      <w:r w:rsidR="000A34D7" w:rsidRPr="005D6204">
        <w:t xml:space="preserve">Anaesthetics in </w:t>
      </w:r>
      <w:r w:rsidR="002D5E3B" w:rsidRPr="005D6204">
        <w:t>HEETV.</w:t>
      </w:r>
    </w:p>
    <w:p w14:paraId="59E56239" w14:textId="77777777" w:rsidR="005F3CAE" w:rsidRPr="007C263F" w:rsidRDefault="005F3CAE" w:rsidP="00593257"/>
    <w:p w14:paraId="7FD7A761" w14:textId="77777777" w:rsidR="00767444" w:rsidRPr="007C263F" w:rsidRDefault="00767444" w:rsidP="00593257"/>
    <w:p w14:paraId="500151EC" w14:textId="0124F589" w:rsidR="00B1456B" w:rsidRPr="005D4286" w:rsidRDefault="00D46F13" w:rsidP="00593257">
      <w:pPr>
        <w:pStyle w:val="Heading2"/>
      </w:pPr>
      <w:r w:rsidRPr="005D4286">
        <w:t>Applying for LTFT and</w:t>
      </w:r>
      <w:r w:rsidR="00B1456B" w:rsidRPr="005D4286">
        <w:t xml:space="preserve"> % training time</w:t>
      </w:r>
    </w:p>
    <w:p w14:paraId="62FFFD7A" w14:textId="77777777" w:rsidR="00CC4400" w:rsidRPr="007C263F" w:rsidRDefault="00CC4400" w:rsidP="00593257"/>
    <w:p w14:paraId="5DB09DAE" w14:textId="47B32B4D" w:rsidR="00B1456B" w:rsidRPr="007C263F" w:rsidRDefault="00B1456B" w:rsidP="00593257">
      <w:r w:rsidRPr="007C263F">
        <w:t xml:space="preserve">All LTFT trainees have to satisfy eligibility criteria that have been agreed by the Conference of Postgraduate </w:t>
      </w:r>
      <w:r w:rsidR="00CC4400" w:rsidRPr="007C263F">
        <w:t xml:space="preserve">Medical </w:t>
      </w:r>
      <w:r w:rsidRPr="007C263F">
        <w:t>Deans.</w:t>
      </w:r>
      <w:r w:rsidR="007C263F">
        <w:t xml:space="preserve"> You can apply for LTFT if you fit into one of three categories:</w:t>
      </w:r>
    </w:p>
    <w:p w14:paraId="5B9DF8F9" w14:textId="266BCC8C" w:rsidR="00B1456B" w:rsidRPr="007C263F" w:rsidRDefault="00DC1E05" w:rsidP="00593257">
      <w:pPr>
        <w:pStyle w:val="ListParagraph"/>
        <w:numPr>
          <w:ilvl w:val="0"/>
          <w:numId w:val="15"/>
        </w:numPr>
      </w:pPr>
      <w:r w:rsidRPr="005D4286">
        <w:rPr>
          <w:b/>
          <w:bCs/>
        </w:rPr>
        <w:t>Category 1</w:t>
      </w:r>
      <w:r w:rsidR="00B1456B" w:rsidRPr="007C263F">
        <w:t xml:space="preserve"> include</w:t>
      </w:r>
      <w:r w:rsidR="002D5E3B" w:rsidRPr="007C263F">
        <w:t>s</w:t>
      </w:r>
      <w:r w:rsidR="00B1456B" w:rsidRPr="007C263F">
        <w:t xml:space="preserve"> caring for young children, ill health, disability, and caring for ill dependents.</w:t>
      </w:r>
    </w:p>
    <w:p w14:paraId="56653D5A" w14:textId="6EF53956" w:rsidR="00B1456B" w:rsidRDefault="00DC1E05" w:rsidP="00593257">
      <w:pPr>
        <w:pStyle w:val="ListParagraph"/>
        <w:numPr>
          <w:ilvl w:val="0"/>
          <w:numId w:val="15"/>
        </w:numPr>
      </w:pPr>
      <w:r w:rsidRPr="005D4286">
        <w:rPr>
          <w:b/>
          <w:bCs/>
        </w:rPr>
        <w:t>Category 2</w:t>
      </w:r>
      <w:r w:rsidRPr="007C263F">
        <w:t xml:space="preserve"> </w:t>
      </w:r>
      <w:r w:rsidR="00B1456B" w:rsidRPr="007C263F">
        <w:t>include</w:t>
      </w:r>
      <w:r w:rsidRPr="007C263F">
        <w:t>s</w:t>
      </w:r>
      <w:r w:rsidR="00B1456B" w:rsidRPr="007C263F">
        <w:t xml:space="preserve"> training for a religious role, unique opportunities for personal/professional development, short-term extraordinary professional responsibility.</w:t>
      </w:r>
    </w:p>
    <w:p w14:paraId="50A57AEC" w14:textId="3BD16E26" w:rsidR="007C263F" w:rsidRPr="007C263F" w:rsidRDefault="007C263F" w:rsidP="00593257">
      <w:pPr>
        <w:pStyle w:val="ListParagraph"/>
        <w:numPr>
          <w:ilvl w:val="0"/>
          <w:numId w:val="15"/>
        </w:numPr>
      </w:pPr>
      <w:r>
        <w:rPr>
          <w:b/>
          <w:bCs/>
        </w:rPr>
        <w:t>Category 3</w:t>
      </w:r>
      <w:r>
        <w:t xml:space="preserve"> </w:t>
      </w:r>
      <w:r w:rsidR="00AE7928">
        <w:t xml:space="preserve">(new </w:t>
      </w:r>
      <w:r w:rsidR="00A573E4">
        <w:t>from</w:t>
      </w:r>
      <w:r w:rsidR="00AE7928">
        <w:t xml:space="preserve"> August 2021) includes </w:t>
      </w:r>
      <w:r w:rsidR="00A573E4">
        <w:t xml:space="preserve">personal/general wellbeing reasons. Applicants in this category are not required to provide further details of their reasons for wishing to train LTFT. </w:t>
      </w:r>
    </w:p>
    <w:p w14:paraId="04EF77D2" w14:textId="34DC1123" w:rsidR="00B1456B" w:rsidRPr="007C263F" w:rsidRDefault="00A573E4" w:rsidP="00593257">
      <w:r>
        <w:t xml:space="preserve">For category 3 you can apply for </w:t>
      </w:r>
      <w:r w:rsidR="008E56ED">
        <w:t xml:space="preserve">80% training time only (in the first year this will be for 4 months only). </w:t>
      </w:r>
      <w:r>
        <w:t>For categories 1 &amp; 2, a</w:t>
      </w:r>
      <w:r w:rsidR="002831F3">
        <w:t>ny percentage training time from 50% upwards can be applied for. W</w:t>
      </w:r>
      <w:r w:rsidR="00B1456B" w:rsidRPr="007C263F">
        <w:t>ithin H</w:t>
      </w:r>
      <w:r w:rsidR="002831F3">
        <w:t>E</w:t>
      </w:r>
      <w:r w:rsidR="00B1456B" w:rsidRPr="007C263F">
        <w:t>ETV most LTFT ana</w:t>
      </w:r>
      <w:r w:rsidR="002D5E3B" w:rsidRPr="007C263F">
        <w:t xml:space="preserve">esthetic trainees train at 60%.  </w:t>
      </w:r>
      <w:r w:rsidR="002831F3">
        <w:t>T</w:t>
      </w:r>
      <w:r w:rsidR="000E7939" w:rsidRPr="007C263F">
        <w:t>here</w:t>
      </w:r>
      <w:r w:rsidR="002831F3">
        <w:t xml:space="preserve"> is flexibility</w:t>
      </w:r>
      <w:r w:rsidR="00B1456B" w:rsidRPr="007C263F">
        <w:t xml:space="preserve"> to increase this to</w:t>
      </w:r>
      <w:r w:rsidR="002831F3">
        <w:t xml:space="preserve"> other percentages (e.g.</w:t>
      </w:r>
      <w:r w:rsidR="00B1456B" w:rsidRPr="007C263F">
        <w:t xml:space="preserve"> 80%</w:t>
      </w:r>
      <w:r w:rsidR="002831F3">
        <w:t>)</w:t>
      </w:r>
      <w:r w:rsidR="002D5E3B" w:rsidRPr="007C263F">
        <w:t>,</w:t>
      </w:r>
      <w:r w:rsidR="00B1456B" w:rsidRPr="007C263F">
        <w:t xml:space="preserve"> but this </w:t>
      </w:r>
      <w:r w:rsidR="002A73BB">
        <w:t xml:space="preserve">cannot be guaranteed and </w:t>
      </w:r>
      <w:r w:rsidR="00B1456B" w:rsidRPr="007C263F">
        <w:t>must be app</w:t>
      </w:r>
      <w:r w:rsidR="00CC4400" w:rsidRPr="007C263F">
        <w:t>l</w:t>
      </w:r>
      <w:r w:rsidR="000E7939" w:rsidRPr="007C263F">
        <w:t>ied for on an individual basis via the Training Programme Director</w:t>
      </w:r>
      <w:r w:rsidR="002D5E3B" w:rsidRPr="007C263F">
        <w:t xml:space="preserve"> in the first instance.</w:t>
      </w:r>
    </w:p>
    <w:p w14:paraId="7529F2B8" w14:textId="5A2BCFB5" w:rsidR="00911020" w:rsidRPr="007C263F" w:rsidRDefault="00911020" w:rsidP="00593257">
      <w:pPr>
        <w:rPr>
          <w:i/>
          <w:u w:val="single"/>
        </w:rPr>
      </w:pPr>
      <w:r w:rsidRPr="007C263F">
        <w:t>The application form and relevant contact details are available at</w:t>
      </w:r>
      <w:r w:rsidR="00AE7928">
        <w:t xml:space="preserve"> </w:t>
      </w:r>
      <w:hyperlink r:id="rId8" w:history="1">
        <w:r w:rsidR="00AE7928" w:rsidRPr="00737BE9">
          <w:rPr>
            <w:rStyle w:val="Hyperlink"/>
          </w:rPr>
          <w:t>https://thamesvalley.hee.nhs.uk/resources-information/trainee-information/training-options/less-than-full-time-training-ltftt/</w:t>
        </w:r>
      </w:hyperlink>
      <w:r w:rsidR="00AE7928">
        <w:t xml:space="preserve"> </w:t>
      </w:r>
    </w:p>
    <w:p w14:paraId="4D91E7DE" w14:textId="77777777" w:rsidR="00CC4400" w:rsidRPr="007C263F" w:rsidRDefault="00CC4400" w:rsidP="00593257"/>
    <w:p w14:paraId="71D469C2" w14:textId="77777777" w:rsidR="00B1456B" w:rsidRPr="007C263F" w:rsidRDefault="00B1456B" w:rsidP="00593257"/>
    <w:p w14:paraId="40B47C8B" w14:textId="77777777" w:rsidR="00B1456B" w:rsidRPr="007C263F" w:rsidRDefault="00B1456B" w:rsidP="00593257">
      <w:pPr>
        <w:pStyle w:val="Heading2"/>
      </w:pPr>
      <w:r w:rsidRPr="007C263F">
        <w:t>Leave</w:t>
      </w:r>
    </w:p>
    <w:p w14:paraId="4B7DBA36" w14:textId="77777777" w:rsidR="00CC4400" w:rsidRPr="007C263F" w:rsidRDefault="00CC4400" w:rsidP="00593257"/>
    <w:p w14:paraId="21B41A3C" w14:textId="671AA55A" w:rsidR="00105840" w:rsidRPr="005D4286" w:rsidRDefault="009713C3" w:rsidP="00593257">
      <w:pPr>
        <w:pStyle w:val="Heading3"/>
      </w:pPr>
      <w:r w:rsidRPr="008256D5">
        <w:t>Annual Leave</w:t>
      </w:r>
    </w:p>
    <w:p w14:paraId="25A652F3" w14:textId="2807EB25" w:rsidR="00675D14" w:rsidRDefault="00675D14" w:rsidP="00593257">
      <w:r w:rsidRPr="007C263F">
        <w:t xml:space="preserve">Annual leave </w:t>
      </w:r>
      <w:r w:rsidR="00BE4A26" w:rsidRPr="007C263F">
        <w:t xml:space="preserve">entitlement is calculated on a </w:t>
      </w:r>
      <w:r w:rsidR="002940BB" w:rsidRPr="007C263F">
        <w:t>pro</w:t>
      </w:r>
      <w:r w:rsidR="002940BB">
        <w:t>-</w:t>
      </w:r>
      <w:r w:rsidR="00BE4A26" w:rsidRPr="007C263F">
        <w:t>r</w:t>
      </w:r>
      <w:r w:rsidRPr="007C263F">
        <w:t>ata basis</w:t>
      </w:r>
      <w:r w:rsidR="008E56ED">
        <w:t xml:space="preserve">. </w:t>
      </w:r>
      <w:r w:rsidR="002940BB">
        <w:t>Below are some worked examples.</w:t>
      </w:r>
      <w:r w:rsidR="00E44462" w:rsidRPr="007C263F">
        <w:t xml:space="preserve"> </w:t>
      </w:r>
    </w:p>
    <w:p w14:paraId="28F7E79B" w14:textId="497CDC15" w:rsidR="008E56ED" w:rsidRDefault="008E56ED" w:rsidP="00593257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8"/>
        <w:gridCol w:w="2766"/>
        <w:gridCol w:w="2766"/>
      </w:tblGrid>
      <w:tr w:rsidR="008E56ED" w14:paraId="141C11E4" w14:textId="77777777" w:rsidTr="00593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8" w:type="dxa"/>
            <w:vAlign w:val="bottom"/>
          </w:tcPr>
          <w:p w14:paraId="18F2E342" w14:textId="08DB3F60" w:rsidR="008E56ED" w:rsidRDefault="008E56ED" w:rsidP="00593257">
            <w:pPr>
              <w:jc w:val="left"/>
            </w:pPr>
            <w:r>
              <w:t>Annual leave</w:t>
            </w:r>
          </w:p>
        </w:tc>
        <w:tc>
          <w:tcPr>
            <w:tcW w:w="2839" w:type="dxa"/>
            <w:vAlign w:val="center"/>
          </w:tcPr>
          <w:p w14:paraId="03B5E341" w14:textId="17678E26" w:rsidR="008E56ED" w:rsidRDefault="008E56ED" w:rsidP="00593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2940BB">
              <w:t xml:space="preserve"> </w:t>
            </w:r>
            <w:r>
              <w:t xml:space="preserve">5 years </w:t>
            </w:r>
            <w:r w:rsidR="002940BB">
              <w:br/>
            </w:r>
            <w:r>
              <w:t>NHS service</w:t>
            </w:r>
          </w:p>
        </w:tc>
        <w:tc>
          <w:tcPr>
            <w:tcW w:w="2839" w:type="dxa"/>
            <w:vAlign w:val="center"/>
          </w:tcPr>
          <w:p w14:paraId="39051C51" w14:textId="7AC50072" w:rsidR="008E56ED" w:rsidRPr="008E56ED" w:rsidRDefault="008E56ED" w:rsidP="005932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</w:t>
            </w:r>
            <w:r w:rsidR="002940BB">
              <w:t xml:space="preserve"> </w:t>
            </w:r>
            <w:r>
              <w:t xml:space="preserve">5 years </w:t>
            </w:r>
            <w:r w:rsidR="002940BB">
              <w:br/>
            </w:r>
            <w:r>
              <w:t>NHS service</w:t>
            </w:r>
          </w:p>
        </w:tc>
      </w:tr>
      <w:tr w:rsidR="008E56ED" w14:paraId="69016AAA" w14:textId="77777777" w:rsidTr="0059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center"/>
          </w:tcPr>
          <w:p w14:paraId="13E70FBA" w14:textId="014294BD" w:rsidR="008E56ED" w:rsidRDefault="008E56ED" w:rsidP="00593257">
            <w:r>
              <w:t>Full time</w:t>
            </w:r>
          </w:p>
        </w:tc>
        <w:tc>
          <w:tcPr>
            <w:tcW w:w="2839" w:type="dxa"/>
            <w:vAlign w:val="center"/>
          </w:tcPr>
          <w:p w14:paraId="570484C9" w14:textId="78492C2A" w:rsidR="008E56ED" w:rsidRDefault="002940BB" w:rsidP="00593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839" w:type="dxa"/>
            <w:vAlign w:val="center"/>
          </w:tcPr>
          <w:p w14:paraId="22531961" w14:textId="18749427" w:rsidR="008E56ED" w:rsidRDefault="002940BB" w:rsidP="00593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</w:tr>
      <w:tr w:rsidR="008E56ED" w14:paraId="23241FD9" w14:textId="77777777" w:rsidTr="00593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center"/>
          </w:tcPr>
          <w:p w14:paraId="7665E015" w14:textId="3752BDB2" w:rsidR="008E56ED" w:rsidRDefault="008E56ED" w:rsidP="00593257">
            <w:r>
              <w:t>80%</w:t>
            </w:r>
          </w:p>
        </w:tc>
        <w:tc>
          <w:tcPr>
            <w:tcW w:w="2839" w:type="dxa"/>
            <w:vAlign w:val="center"/>
          </w:tcPr>
          <w:p w14:paraId="7E770724" w14:textId="45005CCA" w:rsidR="008E56ED" w:rsidRDefault="002940BB" w:rsidP="00593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2839" w:type="dxa"/>
            <w:vAlign w:val="center"/>
          </w:tcPr>
          <w:p w14:paraId="3D528E26" w14:textId="3C6377DD" w:rsidR="008E56ED" w:rsidRDefault="002940BB" w:rsidP="005932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25.5</w:t>
            </w:r>
          </w:p>
        </w:tc>
      </w:tr>
      <w:tr w:rsidR="008E56ED" w14:paraId="680246F4" w14:textId="77777777" w:rsidTr="00593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Align w:val="center"/>
          </w:tcPr>
          <w:p w14:paraId="3BE68BB8" w14:textId="09FDB116" w:rsidR="008E56ED" w:rsidRDefault="008E56ED" w:rsidP="00593257">
            <w:r>
              <w:t>60%</w:t>
            </w:r>
          </w:p>
        </w:tc>
        <w:tc>
          <w:tcPr>
            <w:tcW w:w="2839" w:type="dxa"/>
            <w:vAlign w:val="center"/>
          </w:tcPr>
          <w:p w14:paraId="11FBF98B" w14:textId="6FF83F40" w:rsidR="008E56ED" w:rsidRDefault="002940BB" w:rsidP="00593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839" w:type="dxa"/>
            <w:vAlign w:val="center"/>
          </w:tcPr>
          <w:p w14:paraId="168ADB0D" w14:textId="7D017321" w:rsidR="008E56ED" w:rsidRDefault="002940BB" w:rsidP="00593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</w:tbl>
    <w:p w14:paraId="5613E300" w14:textId="77777777" w:rsidR="008E56ED" w:rsidRPr="007C263F" w:rsidRDefault="008E56ED" w:rsidP="00593257"/>
    <w:p w14:paraId="5113BE2B" w14:textId="77777777" w:rsidR="000B072B" w:rsidRPr="007C263F" w:rsidRDefault="000B072B" w:rsidP="00593257"/>
    <w:p w14:paraId="303BA870" w14:textId="1A1B0DE3" w:rsidR="00523BFE" w:rsidRPr="007C263F" w:rsidRDefault="00523BFE" w:rsidP="00593257">
      <w:pPr>
        <w:pStyle w:val="Heading3"/>
      </w:pPr>
      <w:r w:rsidRPr="007C263F">
        <w:lastRenderedPageBreak/>
        <w:t>Carrying over Annual Leave</w:t>
      </w:r>
    </w:p>
    <w:p w14:paraId="7BB99877" w14:textId="7FDD7AB9" w:rsidR="00523BFE" w:rsidRPr="007C263F" w:rsidRDefault="008E56ED" w:rsidP="00593257">
      <w:r>
        <w:t xml:space="preserve">This applies to LTFT trainees in the same way as for full-time trainees. </w:t>
      </w:r>
      <w:r w:rsidRPr="007C263F">
        <w:t>I</w:t>
      </w:r>
      <w:r>
        <w:t>f</w:t>
      </w:r>
      <w:r w:rsidRPr="007C263F">
        <w:t xml:space="preserve"> </w:t>
      </w:r>
      <w:r w:rsidR="00523BFE" w:rsidRPr="007C263F">
        <w:t xml:space="preserve">you haven’t been able to take your full entitlement of </w:t>
      </w:r>
      <w:r w:rsidR="002831F3">
        <w:t>annual leave</w:t>
      </w:r>
      <w:r w:rsidR="002831F3" w:rsidRPr="007C263F">
        <w:t xml:space="preserve"> </w:t>
      </w:r>
      <w:r w:rsidR="00523BFE" w:rsidRPr="007C263F">
        <w:t xml:space="preserve">despite best </w:t>
      </w:r>
      <w:r w:rsidR="002831F3" w:rsidRPr="007C263F">
        <w:t>efforts,</w:t>
      </w:r>
      <w:r w:rsidR="00523BFE" w:rsidRPr="007C263F">
        <w:t xml:space="preserve"> then you </w:t>
      </w:r>
      <w:r w:rsidR="00523BFE" w:rsidRPr="005D4286">
        <w:rPr>
          <w:iCs/>
        </w:rPr>
        <w:t>can</w:t>
      </w:r>
      <w:r w:rsidR="00523BFE" w:rsidRPr="007C263F">
        <w:t xml:space="preserve"> c</w:t>
      </w:r>
      <w:r w:rsidR="009242D6" w:rsidRPr="007C263F">
        <w:t xml:space="preserve">arry </w:t>
      </w:r>
      <w:r w:rsidR="009C571A" w:rsidRPr="007C263F">
        <w:t xml:space="preserve">leave </w:t>
      </w:r>
      <w:r w:rsidR="009242D6" w:rsidRPr="007C263F">
        <w:t>over to another leave year</w:t>
      </w:r>
      <w:r w:rsidR="009C571A" w:rsidRPr="007C263F">
        <w:t xml:space="preserve"> on a </w:t>
      </w:r>
      <w:r w:rsidR="009242D6" w:rsidRPr="007C263F">
        <w:t>pro rata</w:t>
      </w:r>
      <w:r w:rsidR="009C571A" w:rsidRPr="007C263F">
        <w:t xml:space="preserve"> basis</w:t>
      </w:r>
      <w:r w:rsidR="00767444" w:rsidRPr="007C263F">
        <w:t xml:space="preserve">. </w:t>
      </w:r>
      <w:r w:rsidRPr="007C263F">
        <w:t>Full</w:t>
      </w:r>
      <w:r>
        <w:t>-</w:t>
      </w:r>
      <w:r w:rsidR="00767444" w:rsidRPr="007C263F">
        <w:t>time</w:t>
      </w:r>
      <w:r w:rsidR="00E44462" w:rsidRPr="007C263F">
        <w:t xml:space="preserve"> trainees are allowed up to 5 days</w:t>
      </w:r>
      <w:r>
        <w:t>,</w:t>
      </w:r>
      <w:r w:rsidR="00E44462" w:rsidRPr="007C263F">
        <w:t xml:space="preserve"> therefore </w:t>
      </w:r>
      <w:r w:rsidR="009242D6" w:rsidRPr="007C263F">
        <w:t>at 60</w:t>
      </w:r>
      <w:r w:rsidR="00767444" w:rsidRPr="007C263F">
        <w:t>%</w:t>
      </w:r>
      <w:r w:rsidR="009C571A" w:rsidRPr="007C263F">
        <w:t xml:space="preserve"> you can</w:t>
      </w:r>
      <w:r w:rsidR="005D0E82" w:rsidRPr="007C263F">
        <w:t xml:space="preserve"> carry over 3 days</w:t>
      </w:r>
      <w:r>
        <w:t xml:space="preserve"> (5 days x 60% = 3 days)</w:t>
      </w:r>
      <w:r w:rsidR="00E44462" w:rsidRPr="007C263F">
        <w:t xml:space="preserve">.  </w:t>
      </w:r>
      <w:r w:rsidR="00523BFE" w:rsidRPr="007C263F">
        <w:t xml:space="preserve">This </w:t>
      </w:r>
      <w:r>
        <w:t>must</w:t>
      </w:r>
      <w:r w:rsidR="000E7939" w:rsidRPr="007C263F">
        <w:t xml:space="preserve"> be </w:t>
      </w:r>
      <w:r w:rsidR="009242D6" w:rsidRPr="007C263F">
        <w:t xml:space="preserve">arranged </w:t>
      </w:r>
      <w:r w:rsidR="00523BFE" w:rsidRPr="007C263F">
        <w:t>by local agreemen</w:t>
      </w:r>
      <w:r w:rsidR="009242D6" w:rsidRPr="007C263F">
        <w:t>t</w:t>
      </w:r>
      <w:r w:rsidR="00E44462" w:rsidRPr="007C263F">
        <w:t xml:space="preserve"> and must be with the same employer.  If you are</w:t>
      </w:r>
      <w:r w:rsidR="00523BFE" w:rsidRPr="007C263F">
        <w:t xml:space="preserve"> moving to a different employer then you can request payment in lieu</w:t>
      </w:r>
      <w:r w:rsidR="006F00D7" w:rsidRPr="007C263F">
        <w:t xml:space="preserve"> of leave not</w:t>
      </w:r>
      <w:r w:rsidR="00D46F13" w:rsidRPr="007C263F">
        <w:t xml:space="preserve"> taken</w:t>
      </w:r>
      <w:r w:rsidR="00523BFE" w:rsidRPr="007C263F">
        <w:t xml:space="preserve">, but </w:t>
      </w:r>
      <w:r w:rsidR="00BE4A26" w:rsidRPr="007C263F">
        <w:t xml:space="preserve">this is </w:t>
      </w:r>
      <w:r w:rsidR="00523BFE" w:rsidRPr="007C263F">
        <w:t>again by local agre</w:t>
      </w:r>
      <w:r w:rsidR="005D0E82" w:rsidRPr="007C263F">
        <w:t>ement</w:t>
      </w:r>
      <w:r w:rsidR="00CC4400" w:rsidRPr="007C263F">
        <w:t>.</w:t>
      </w:r>
      <w:r w:rsidR="006F00D7" w:rsidRPr="007C263F">
        <w:t xml:space="preserve">  </w:t>
      </w:r>
    </w:p>
    <w:p w14:paraId="1477673E" w14:textId="77777777" w:rsidR="00523BFE" w:rsidRPr="007C263F" w:rsidRDefault="00523BFE" w:rsidP="00593257"/>
    <w:p w14:paraId="155F2274" w14:textId="7D9EA187" w:rsidR="009713C3" w:rsidRPr="007C263F" w:rsidRDefault="009713C3" w:rsidP="00593257">
      <w:pPr>
        <w:pStyle w:val="Heading3"/>
      </w:pPr>
      <w:r w:rsidRPr="007C263F">
        <w:t>Bank Holiday</w:t>
      </w:r>
      <w:r w:rsidR="00CC4400" w:rsidRPr="007C263F">
        <w:t>s</w:t>
      </w:r>
    </w:p>
    <w:p w14:paraId="26154BCE" w14:textId="6EBA0989" w:rsidR="002940BB" w:rsidRDefault="002940BB" w:rsidP="00593257">
      <w:r>
        <w:t xml:space="preserve">As with annual leave, </w:t>
      </w:r>
      <w:r w:rsidR="00746C49">
        <w:t>your</w:t>
      </w:r>
      <w:r>
        <w:t xml:space="preserve"> bank holiday allowance is calculated pro-rata according to the percentage LTFT you work. Below are some worked examples:</w:t>
      </w:r>
    </w:p>
    <w:p w14:paraId="6CE2BC77" w14:textId="3EFA7EE6" w:rsidR="002940BB" w:rsidRDefault="002940BB" w:rsidP="00593257"/>
    <w:tbl>
      <w:tblPr>
        <w:tblStyle w:val="PlainTable3"/>
        <w:tblW w:w="5387" w:type="dxa"/>
        <w:jc w:val="center"/>
        <w:tblLook w:val="04A0" w:firstRow="1" w:lastRow="0" w:firstColumn="1" w:lastColumn="0" w:noHBand="0" w:noVBand="1"/>
      </w:tblPr>
      <w:tblGrid>
        <w:gridCol w:w="2237"/>
        <w:gridCol w:w="3150"/>
      </w:tblGrid>
      <w:tr w:rsidR="00024877" w14:paraId="4685F761" w14:textId="77777777" w:rsidTr="00024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7" w:type="dxa"/>
            <w:vAlign w:val="center"/>
          </w:tcPr>
          <w:p w14:paraId="03B20B55" w14:textId="7A8F1BD0" w:rsidR="00024877" w:rsidRDefault="00024877" w:rsidP="00593257">
            <w:r>
              <w:t>Work pattern</w:t>
            </w:r>
          </w:p>
        </w:tc>
        <w:tc>
          <w:tcPr>
            <w:tcW w:w="3150" w:type="dxa"/>
            <w:vAlign w:val="center"/>
          </w:tcPr>
          <w:p w14:paraId="60696649" w14:textId="49E3BE65" w:rsidR="00024877" w:rsidRDefault="00024877" w:rsidP="00024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Bank holiday allowance</w:t>
            </w:r>
          </w:p>
        </w:tc>
      </w:tr>
      <w:tr w:rsidR="002940BB" w14:paraId="0B0B3F2C" w14:textId="77777777" w:rsidTr="000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56D46F80" w14:textId="77777777" w:rsidR="002940BB" w:rsidRDefault="002940BB" w:rsidP="00593257">
            <w:r>
              <w:t>Full time</w:t>
            </w:r>
          </w:p>
        </w:tc>
        <w:tc>
          <w:tcPr>
            <w:tcW w:w="3150" w:type="dxa"/>
            <w:vAlign w:val="center"/>
          </w:tcPr>
          <w:p w14:paraId="2EC65F76" w14:textId="7263DCCD" w:rsidR="002940BB" w:rsidRDefault="002940BB" w:rsidP="0002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2940BB" w14:paraId="2110EC3D" w14:textId="77777777" w:rsidTr="00024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49833774" w14:textId="77777777" w:rsidR="002940BB" w:rsidRDefault="002940BB" w:rsidP="00593257">
            <w:r>
              <w:t>80%</w:t>
            </w:r>
          </w:p>
        </w:tc>
        <w:tc>
          <w:tcPr>
            <w:tcW w:w="3150" w:type="dxa"/>
            <w:vAlign w:val="center"/>
          </w:tcPr>
          <w:p w14:paraId="49F32705" w14:textId="333E6EED" w:rsidR="002940BB" w:rsidRDefault="002940BB" w:rsidP="00024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</w:p>
        </w:tc>
      </w:tr>
      <w:tr w:rsidR="002940BB" w14:paraId="2D6275DC" w14:textId="77777777" w:rsidTr="000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vAlign w:val="center"/>
          </w:tcPr>
          <w:p w14:paraId="2143AB51" w14:textId="77777777" w:rsidR="002940BB" w:rsidRDefault="002940BB" w:rsidP="00593257">
            <w:r>
              <w:t>60%</w:t>
            </w:r>
          </w:p>
        </w:tc>
        <w:tc>
          <w:tcPr>
            <w:tcW w:w="3150" w:type="dxa"/>
            <w:vAlign w:val="center"/>
          </w:tcPr>
          <w:p w14:paraId="3C0FFD05" w14:textId="7D324F70" w:rsidR="002940BB" w:rsidRDefault="002940BB" w:rsidP="00024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2AE316B9" w14:textId="77777777" w:rsidR="002940BB" w:rsidRDefault="002940BB" w:rsidP="00593257"/>
    <w:p w14:paraId="09DE9E86" w14:textId="54DE4B79" w:rsidR="002940BB" w:rsidRDefault="002940BB" w:rsidP="00593257">
      <w:r>
        <w:t>You can claim time off in lieu (TOIL) for the bank holiday if you:</w:t>
      </w:r>
    </w:p>
    <w:p w14:paraId="7A3AE9C3" w14:textId="67AE0D72" w:rsidR="002940BB" w:rsidRDefault="002940BB" w:rsidP="00593257">
      <w:pPr>
        <w:pStyle w:val="ListParagraph"/>
        <w:numPr>
          <w:ilvl w:val="0"/>
          <w:numId w:val="17"/>
        </w:numPr>
      </w:pPr>
      <w:r>
        <w:t>Work on-call</w:t>
      </w:r>
    </w:p>
    <w:p w14:paraId="1B46C2DB" w14:textId="0DCDFC57" w:rsidR="002940BB" w:rsidRDefault="002940BB" w:rsidP="00593257">
      <w:pPr>
        <w:pStyle w:val="ListParagraph"/>
        <w:numPr>
          <w:ilvl w:val="0"/>
          <w:numId w:val="17"/>
        </w:numPr>
      </w:pPr>
      <w:r>
        <w:t>Have a zero day (e.g. following a night shift)</w:t>
      </w:r>
    </w:p>
    <w:p w14:paraId="325654D9" w14:textId="442C22FC" w:rsidR="002940BB" w:rsidRDefault="002940BB" w:rsidP="00593257">
      <w:pPr>
        <w:pStyle w:val="ListParagraph"/>
        <w:numPr>
          <w:ilvl w:val="0"/>
          <w:numId w:val="17"/>
        </w:numPr>
      </w:pPr>
      <w:r>
        <w:t xml:space="preserve">Normally have it as a non-working day </w:t>
      </w:r>
    </w:p>
    <w:p w14:paraId="64A1F273" w14:textId="77777777" w:rsidR="00B1456B" w:rsidRPr="007C263F" w:rsidRDefault="00B1456B" w:rsidP="00593257"/>
    <w:p w14:paraId="12EEAA6A" w14:textId="3B5D825A" w:rsidR="00B1456B" w:rsidRPr="007C263F" w:rsidRDefault="00B1456B" w:rsidP="00593257">
      <w:pPr>
        <w:pStyle w:val="Heading3"/>
      </w:pPr>
      <w:r w:rsidRPr="007C263F">
        <w:t>Carer</w:t>
      </w:r>
      <w:r w:rsidR="003C0106" w:rsidRPr="007C263F">
        <w:t>’</w:t>
      </w:r>
      <w:r w:rsidRPr="007C263F">
        <w:t>s</w:t>
      </w:r>
      <w:r w:rsidR="003C0106" w:rsidRPr="007C263F">
        <w:t>/Domestic</w:t>
      </w:r>
      <w:r w:rsidRPr="007C263F">
        <w:t xml:space="preserve"> leave</w:t>
      </w:r>
    </w:p>
    <w:p w14:paraId="19C3C962" w14:textId="6C3AB285" w:rsidR="006F00D7" w:rsidRPr="007C263F" w:rsidRDefault="00B1456B" w:rsidP="00593257">
      <w:r w:rsidRPr="007C263F">
        <w:t>Carer</w:t>
      </w:r>
      <w:r w:rsidR="003C0106" w:rsidRPr="007C263F">
        <w:t>’</w:t>
      </w:r>
      <w:r w:rsidRPr="007C263F">
        <w:t>s leave</w:t>
      </w:r>
      <w:r w:rsidR="00A34669" w:rsidRPr="007C263F">
        <w:t xml:space="preserve"> is designed to be used</w:t>
      </w:r>
      <w:r w:rsidRPr="007C263F">
        <w:t xml:space="preserve"> in cases of ‘urgent domestic distress’ (e.g. illness of a child, partn</w:t>
      </w:r>
      <w:r w:rsidR="00A34669" w:rsidRPr="007C263F">
        <w:t>er, close relative or dependant</w:t>
      </w:r>
      <w:r w:rsidRPr="007C263F">
        <w:t>, or an emergency situation arising from the breakdown of normal car</w:t>
      </w:r>
      <w:r w:rsidR="00A34669" w:rsidRPr="007C263F">
        <w:t xml:space="preserve">er arrangements) but not for </w:t>
      </w:r>
      <w:r w:rsidRPr="007C263F">
        <w:t>situations which are pre-planned</w:t>
      </w:r>
      <w:r w:rsidR="006F00D7" w:rsidRPr="007C263F">
        <w:t xml:space="preserve"> or of long duration.</w:t>
      </w:r>
    </w:p>
    <w:p w14:paraId="3921E20A" w14:textId="73F59420" w:rsidR="00B1456B" w:rsidRPr="007C263F" w:rsidRDefault="00B1456B" w:rsidP="00593257">
      <w:r w:rsidRPr="007C263F">
        <w:t xml:space="preserve">The duration of this type of leave is </w:t>
      </w:r>
      <w:r w:rsidR="00A34669" w:rsidRPr="007C263F">
        <w:t>trust-</w:t>
      </w:r>
      <w:r w:rsidR="006F00D7" w:rsidRPr="007C263F">
        <w:t>specific and w</w:t>
      </w:r>
      <w:r w:rsidRPr="007C263F">
        <w:t xml:space="preserve">hether these days are paid or unpaid is </w:t>
      </w:r>
      <w:r w:rsidR="007C351A" w:rsidRPr="007C263F">
        <w:t xml:space="preserve">also </w:t>
      </w:r>
      <w:r w:rsidRPr="007C263F">
        <w:t>at the discretion</w:t>
      </w:r>
      <w:r w:rsidR="006F00D7" w:rsidRPr="007C263F">
        <w:t xml:space="preserve"> of the individu</w:t>
      </w:r>
      <w:r w:rsidR="007C351A" w:rsidRPr="007C263F">
        <w:t>al organisation</w:t>
      </w:r>
      <w:r w:rsidR="00A34669" w:rsidRPr="007C263F">
        <w:t xml:space="preserve"> so please check your local policy for details.</w:t>
      </w:r>
    </w:p>
    <w:p w14:paraId="16B50288" w14:textId="77777777" w:rsidR="00B1456B" w:rsidRPr="007C263F" w:rsidRDefault="00B1456B" w:rsidP="00593257"/>
    <w:p w14:paraId="1C888704" w14:textId="5AAA3D97" w:rsidR="00B1456B" w:rsidRDefault="008C2C7B" w:rsidP="00593257">
      <w:pPr>
        <w:pStyle w:val="Heading3"/>
      </w:pPr>
      <w:r>
        <w:t>Parental leave</w:t>
      </w:r>
    </w:p>
    <w:p w14:paraId="7201C9AF" w14:textId="592448BD" w:rsidR="008C2C7B" w:rsidRDefault="008C2C7B" w:rsidP="00593257">
      <w:r>
        <w:t>A s</w:t>
      </w:r>
      <w:r w:rsidRPr="008256D5">
        <w:t>eparate document available d</w:t>
      </w:r>
      <w:r w:rsidRPr="005D4286">
        <w:t>escribing this in</w:t>
      </w:r>
      <w:r>
        <w:t xml:space="preserve"> detail on the OxDAT OOP/LTFT website (</w:t>
      </w:r>
      <w:hyperlink r:id="rId9" w:history="1">
        <w:r w:rsidRPr="00737BE9">
          <w:rPr>
            <w:rStyle w:val="Hyperlink"/>
            <w:bCs/>
          </w:rPr>
          <w:t>https://www.oxdat.com/ltftoop</w:t>
        </w:r>
      </w:hyperlink>
      <w:r>
        <w:t>).</w:t>
      </w:r>
    </w:p>
    <w:p w14:paraId="5009C077" w14:textId="355DFEB9" w:rsidR="008C2C7B" w:rsidRPr="005D4286" w:rsidRDefault="008C2C7B" w:rsidP="00593257">
      <w:r>
        <w:t xml:space="preserve"> </w:t>
      </w:r>
    </w:p>
    <w:p w14:paraId="3CB05681" w14:textId="77777777" w:rsidR="00B1456B" w:rsidRPr="005D4286" w:rsidRDefault="00B1456B" w:rsidP="00593257">
      <w:pPr>
        <w:pStyle w:val="Heading2"/>
      </w:pPr>
      <w:r w:rsidRPr="005D4286">
        <w:t>Rota</w:t>
      </w:r>
    </w:p>
    <w:p w14:paraId="25073BB8" w14:textId="77777777" w:rsidR="00CC4400" w:rsidRPr="005D4286" w:rsidRDefault="00CC4400" w:rsidP="00593257"/>
    <w:p w14:paraId="0CF418C7" w14:textId="324657EB" w:rsidR="00BE4A26" w:rsidRPr="007C263F" w:rsidRDefault="0094206F" w:rsidP="00593257">
      <w:pPr>
        <w:pStyle w:val="Heading3"/>
      </w:pPr>
      <w:r w:rsidRPr="007C263F">
        <w:t>Normal Working Pattern</w:t>
      </w:r>
    </w:p>
    <w:p w14:paraId="735D3966" w14:textId="2CF735FE" w:rsidR="00BE4A26" w:rsidRPr="007C263F" w:rsidRDefault="00E44462" w:rsidP="00593257">
      <w:r w:rsidRPr="007C263F">
        <w:t>This is g</w:t>
      </w:r>
      <w:r w:rsidR="002A386C" w:rsidRPr="007C263F">
        <w:t xml:space="preserve">overned by </w:t>
      </w:r>
      <w:r w:rsidR="00BE4A26" w:rsidRPr="007C263F">
        <w:t>BMA/NHS</w:t>
      </w:r>
      <w:r w:rsidR="00767444" w:rsidRPr="007C263F">
        <w:t xml:space="preserve"> </w:t>
      </w:r>
      <w:r w:rsidR="00BE4A26" w:rsidRPr="007C263F">
        <w:t>E</w:t>
      </w:r>
      <w:r w:rsidR="00767444" w:rsidRPr="007C263F">
        <w:t>mployers</w:t>
      </w:r>
      <w:r w:rsidR="00BE4A26" w:rsidRPr="007C263F">
        <w:t xml:space="preserve"> </w:t>
      </w:r>
      <w:r w:rsidRPr="007C263F">
        <w:t xml:space="preserve">Good Rostering Guide </w:t>
      </w:r>
      <w:r w:rsidR="00B1456B" w:rsidRPr="007C263F">
        <w:t xml:space="preserve">(May 2018). </w:t>
      </w:r>
      <w:r w:rsidR="00767444" w:rsidRPr="007C263F">
        <w:t>You can</w:t>
      </w:r>
      <w:r w:rsidR="00675D14" w:rsidRPr="007C263F">
        <w:t xml:space="preserve"> req</w:t>
      </w:r>
      <w:r w:rsidR="00767444" w:rsidRPr="007C263F">
        <w:t xml:space="preserve">uest a regular working pattern </w:t>
      </w:r>
      <w:r w:rsidR="008C2C7B">
        <w:t>(for example</w:t>
      </w:r>
      <w:r w:rsidR="00675D14" w:rsidRPr="007C263F">
        <w:t xml:space="preserve"> Wed/Thur</w:t>
      </w:r>
      <w:r w:rsidR="008C2C7B">
        <w:t>s</w:t>
      </w:r>
      <w:r w:rsidR="00675D14" w:rsidRPr="007C263F">
        <w:t>/Fri</w:t>
      </w:r>
      <w:r w:rsidR="008C2C7B">
        <w:t>)</w:t>
      </w:r>
      <w:r w:rsidR="007C351A" w:rsidRPr="007C263F">
        <w:t xml:space="preserve"> and a</w:t>
      </w:r>
      <w:r w:rsidR="00523BFE" w:rsidRPr="007C263F">
        <w:t>ll attempts should be made to facilitate the requested working pattern</w:t>
      </w:r>
      <w:r w:rsidR="002A386C" w:rsidRPr="007C263F">
        <w:t xml:space="preserve"> for the duration of the placement </w:t>
      </w:r>
      <w:r w:rsidR="00BE4A26" w:rsidRPr="007C263F">
        <w:t>(and ideally across multiple placements)</w:t>
      </w:r>
      <w:r w:rsidR="00767444" w:rsidRPr="007C263F">
        <w:t>.</w:t>
      </w:r>
    </w:p>
    <w:p w14:paraId="10AA89D1" w14:textId="24D6376C" w:rsidR="00767444" w:rsidRPr="007C263F" w:rsidRDefault="002A386C" w:rsidP="00593257">
      <w:pPr>
        <w:rPr>
          <w:b/>
        </w:rPr>
      </w:pPr>
      <w:r w:rsidRPr="007C263F">
        <w:t>The employer needs to give you suff</w:t>
      </w:r>
      <w:r w:rsidR="00BE4A26" w:rsidRPr="007C263F">
        <w:t xml:space="preserve">icient notice </w:t>
      </w:r>
      <w:r w:rsidR="000B072B" w:rsidRPr="007C263F">
        <w:t>if</w:t>
      </w:r>
      <w:r w:rsidR="009944D8" w:rsidRPr="007C263F">
        <w:t xml:space="preserve"> a change in working pattern is required so that you can </w:t>
      </w:r>
      <w:r w:rsidR="00CC4400" w:rsidRPr="007C263F">
        <w:t>organis</w:t>
      </w:r>
      <w:r w:rsidR="002D56D9" w:rsidRPr="007C263F">
        <w:t>e</w:t>
      </w:r>
      <w:r w:rsidRPr="007C263F">
        <w:t xml:space="preserve"> </w:t>
      </w:r>
      <w:r w:rsidR="009944D8" w:rsidRPr="007C263F">
        <w:t xml:space="preserve">any </w:t>
      </w:r>
      <w:r w:rsidR="00D36FE1" w:rsidRPr="007C263F">
        <w:t xml:space="preserve">changes to carer </w:t>
      </w:r>
      <w:r w:rsidRPr="007C263F">
        <w:t>responsibilities.</w:t>
      </w:r>
      <w:r w:rsidR="00B1456B" w:rsidRPr="007C263F">
        <w:rPr>
          <w:b/>
        </w:rPr>
        <w:t xml:space="preserve">  </w:t>
      </w:r>
    </w:p>
    <w:p w14:paraId="63793474" w14:textId="303EBB14" w:rsidR="008C2C7B" w:rsidRDefault="008C2C7B" w:rsidP="00593257"/>
    <w:p w14:paraId="719BB020" w14:textId="77777777" w:rsidR="00593257" w:rsidRDefault="00593257" w:rsidP="00593257"/>
    <w:p w14:paraId="612BF9F3" w14:textId="7400F30D" w:rsidR="00B1456B" w:rsidRPr="007C263F" w:rsidRDefault="00B1456B" w:rsidP="00593257">
      <w:r w:rsidRPr="007C263F">
        <w:t>Common queries include:</w:t>
      </w:r>
    </w:p>
    <w:p w14:paraId="3B1F4382" w14:textId="4876EBC2" w:rsidR="00B1456B" w:rsidRPr="007C263F" w:rsidRDefault="00B1456B" w:rsidP="00593257">
      <w:pPr>
        <w:pStyle w:val="ListParagraph"/>
        <w:numPr>
          <w:ilvl w:val="0"/>
          <w:numId w:val="10"/>
        </w:numPr>
      </w:pPr>
      <w:r w:rsidRPr="007C263F">
        <w:t>B</w:t>
      </w:r>
      <w:r w:rsidR="002A386C" w:rsidRPr="007C263F">
        <w:t xml:space="preserve">eing </w:t>
      </w:r>
      <w:r w:rsidR="00523BFE" w:rsidRPr="007C263F">
        <w:t xml:space="preserve">required to work </w:t>
      </w:r>
      <w:r w:rsidR="002A386C" w:rsidRPr="007C263F">
        <w:t>a night</w:t>
      </w:r>
      <w:r w:rsidR="00523BFE" w:rsidRPr="007C263F">
        <w:t xml:space="preserve"> running into </w:t>
      </w:r>
      <w:r w:rsidR="000B072B" w:rsidRPr="007C263F">
        <w:t xml:space="preserve">a </w:t>
      </w:r>
      <w:r w:rsidR="008C2C7B" w:rsidRPr="007C263F">
        <w:t>non-working</w:t>
      </w:r>
      <w:r w:rsidR="000B072B" w:rsidRPr="007C263F">
        <w:t xml:space="preserve"> day. This is allowed, but </w:t>
      </w:r>
      <w:r w:rsidR="000B072B" w:rsidRPr="007C263F">
        <w:rPr>
          <w:i/>
        </w:rPr>
        <w:t>only for one</w:t>
      </w:r>
      <w:r w:rsidR="000B072B" w:rsidRPr="007C263F">
        <w:t xml:space="preserve"> </w:t>
      </w:r>
      <w:r w:rsidR="008C2C7B" w:rsidRPr="007C263F">
        <w:t>non-working</w:t>
      </w:r>
      <w:r w:rsidR="000B072B" w:rsidRPr="007C263F">
        <w:t xml:space="preserve"> day</w:t>
      </w:r>
      <w:r w:rsidR="008C2C7B">
        <w:t xml:space="preserve">, e.g. </w:t>
      </w:r>
      <w:r w:rsidR="000B072B" w:rsidRPr="007C263F">
        <w:t>at the start or end of nights, not both.</w:t>
      </w:r>
    </w:p>
    <w:p w14:paraId="4DB9E7FF" w14:textId="7A6F0A4B" w:rsidR="00B1456B" w:rsidRPr="007C263F" w:rsidRDefault="002A386C" w:rsidP="00593257">
      <w:pPr>
        <w:pStyle w:val="ListParagraph"/>
        <w:numPr>
          <w:ilvl w:val="0"/>
          <w:numId w:val="10"/>
        </w:numPr>
      </w:pPr>
      <w:r w:rsidRPr="007C263F">
        <w:t>Working Friday</w:t>
      </w:r>
      <w:r w:rsidR="0094206F" w:rsidRPr="007C263F">
        <w:t xml:space="preserve"> long days</w:t>
      </w:r>
      <w:r w:rsidRPr="007C263F">
        <w:t xml:space="preserve"> </w:t>
      </w:r>
      <w:r w:rsidR="009944D8" w:rsidRPr="007C263F">
        <w:t xml:space="preserve">as part of a weekend </w:t>
      </w:r>
      <w:r w:rsidRPr="007C263F">
        <w:t>when it</w:t>
      </w:r>
      <w:r w:rsidR="00881264" w:rsidRPr="007C263F">
        <w:t xml:space="preserve">’s not your normal working day – </w:t>
      </w:r>
      <w:r w:rsidR="009944D8" w:rsidRPr="007C263F">
        <w:t>according to the Good Roster</w:t>
      </w:r>
      <w:r w:rsidR="00FB4DB6" w:rsidRPr="007C263F">
        <w:t>ing guide this is not allowed unless by agreement.</w:t>
      </w:r>
      <w:r w:rsidR="009944D8" w:rsidRPr="007C263F">
        <w:t xml:space="preserve"> Since weekend working is now defined as any shift that begins on a Saturday or Sunday, not working the Friday</w:t>
      </w:r>
      <w:r w:rsidR="0094206F" w:rsidRPr="007C263F">
        <w:t xml:space="preserve"> long day</w:t>
      </w:r>
      <w:r w:rsidR="009944D8" w:rsidRPr="007C263F">
        <w:t xml:space="preserve"> does not increase the weekend wor</w:t>
      </w:r>
      <w:r w:rsidR="00CC4400" w:rsidRPr="007C263F">
        <w:t>king of other people on the r</w:t>
      </w:r>
      <w:r w:rsidR="009944D8" w:rsidRPr="007C263F">
        <w:t xml:space="preserve">ota. </w:t>
      </w:r>
    </w:p>
    <w:p w14:paraId="19C8CD43" w14:textId="77777777" w:rsidR="008C2C7B" w:rsidRDefault="008C2C7B" w:rsidP="00593257"/>
    <w:p w14:paraId="768BF38A" w14:textId="04B1942C" w:rsidR="002A386C" w:rsidRPr="008C2C7B" w:rsidRDefault="008C2C7B" w:rsidP="00593257">
      <w:r>
        <w:t xml:space="preserve">If based at </w:t>
      </w:r>
      <w:r w:rsidR="002A386C" w:rsidRPr="008C2C7B">
        <w:t>O</w:t>
      </w:r>
      <w:r>
        <w:t xml:space="preserve">UH and 60% LTFT, they </w:t>
      </w:r>
      <w:r w:rsidR="002A386C" w:rsidRPr="008C2C7B">
        <w:t xml:space="preserve">currently request that you select </w:t>
      </w:r>
      <w:r>
        <w:t xml:space="preserve">your working days as </w:t>
      </w:r>
      <w:r w:rsidR="002A386C" w:rsidRPr="008C2C7B">
        <w:t>either Mon/Tue/Wed or Wed/Thur</w:t>
      </w:r>
      <w:r>
        <w:t>s</w:t>
      </w:r>
      <w:r w:rsidR="002A386C" w:rsidRPr="008C2C7B">
        <w:t>/Fri</w:t>
      </w:r>
      <w:r w:rsidR="002D56D9" w:rsidRPr="008C2C7B">
        <w:t>.</w:t>
      </w:r>
    </w:p>
    <w:p w14:paraId="40CD31C2" w14:textId="77777777" w:rsidR="00A22052" w:rsidRPr="007C263F" w:rsidRDefault="00A22052" w:rsidP="00593257"/>
    <w:p w14:paraId="066BAFA6" w14:textId="77777777" w:rsidR="00B1456B" w:rsidRPr="007C263F" w:rsidRDefault="009944D8" w:rsidP="00593257">
      <w:pPr>
        <w:pStyle w:val="Heading3"/>
      </w:pPr>
      <w:r w:rsidRPr="007C263F">
        <w:t>Balance of on-calls vs</w:t>
      </w:r>
      <w:r w:rsidR="002D56D9" w:rsidRPr="007C263F">
        <w:t>.</w:t>
      </w:r>
      <w:r w:rsidRPr="007C263F">
        <w:t xml:space="preserve"> normal days</w:t>
      </w:r>
    </w:p>
    <w:p w14:paraId="191E68A1" w14:textId="5501FDB9" w:rsidR="00FB4DB6" w:rsidRPr="007C263F" w:rsidRDefault="00B1456B" w:rsidP="00593257">
      <w:r w:rsidRPr="007C263F">
        <w:t xml:space="preserve">This is governed by the both the </w:t>
      </w:r>
      <w:r w:rsidR="00FB4DB6" w:rsidRPr="007C263F">
        <w:t>Gold Guide</w:t>
      </w:r>
      <w:r w:rsidRPr="007C263F">
        <w:t xml:space="preserve"> (</w:t>
      </w:r>
      <w:r w:rsidR="00A76575" w:rsidRPr="007C263F">
        <w:t xml:space="preserve">Jan </w:t>
      </w:r>
      <w:r w:rsidR="008C2C7B" w:rsidRPr="007C263F">
        <w:t>20</w:t>
      </w:r>
      <w:r w:rsidR="008C2C7B">
        <w:t>20</w:t>
      </w:r>
      <w:r w:rsidRPr="007C263F">
        <w:t>)</w:t>
      </w:r>
      <w:r w:rsidR="00FB4DB6" w:rsidRPr="007C263F">
        <w:t xml:space="preserve"> and Good Rostering Guide</w:t>
      </w:r>
      <w:r w:rsidRPr="007C263F">
        <w:t xml:space="preserve"> (May 2018)</w:t>
      </w:r>
      <w:r w:rsidRPr="007C263F">
        <w:rPr>
          <w:b/>
        </w:rPr>
        <w:t xml:space="preserve">.  </w:t>
      </w:r>
      <w:r w:rsidRPr="007C263F">
        <w:t>The key is proportionality.</w:t>
      </w:r>
      <w:r w:rsidRPr="007C263F">
        <w:rPr>
          <w:b/>
        </w:rPr>
        <w:t xml:space="preserve"> </w:t>
      </w:r>
      <w:r w:rsidR="009944D8" w:rsidRPr="007C263F">
        <w:t xml:space="preserve">All shift types </w:t>
      </w:r>
      <w:r w:rsidR="00FB4DB6" w:rsidRPr="007C263F">
        <w:t>should be pro rata</w:t>
      </w:r>
      <w:r w:rsidR="007C351A" w:rsidRPr="007C263F">
        <w:rPr>
          <w:b/>
        </w:rPr>
        <w:t xml:space="preserve"> </w:t>
      </w:r>
      <w:r w:rsidR="007C351A" w:rsidRPr="007C263F">
        <w:t>so</w:t>
      </w:r>
      <w:r w:rsidR="007C351A" w:rsidRPr="007C263F">
        <w:rPr>
          <w:b/>
        </w:rPr>
        <w:t xml:space="preserve"> </w:t>
      </w:r>
      <w:r w:rsidR="007C351A" w:rsidRPr="007C263F">
        <w:t>y</w:t>
      </w:r>
      <w:r w:rsidR="00FB4DB6" w:rsidRPr="007C263F">
        <w:t xml:space="preserve">ou should be working the same proportion of </w:t>
      </w:r>
      <w:r w:rsidR="00462072">
        <w:t>days</w:t>
      </w:r>
      <w:r w:rsidR="00FB4DB6" w:rsidRPr="007C263F">
        <w:t xml:space="preserve">, </w:t>
      </w:r>
      <w:r w:rsidR="00462072">
        <w:t>long days</w:t>
      </w:r>
      <w:r w:rsidR="009944D8" w:rsidRPr="007C263F">
        <w:t xml:space="preserve">, </w:t>
      </w:r>
      <w:r w:rsidR="00462072">
        <w:t>nights,</w:t>
      </w:r>
      <w:r w:rsidR="009944D8" w:rsidRPr="007C263F">
        <w:t xml:space="preserve"> and weekends as a </w:t>
      </w:r>
      <w:r w:rsidR="00462072">
        <w:t>full-time</w:t>
      </w:r>
      <w:r w:rsidR="00462072" w:rsidRPr="007C263F">
        <w:t xml:space="preserve"> </w:t>
      </w:r>
      <w:r w:rsidR="009944D8" w:rsidRPr="007C263F">
        <w:t>trainee</w:t>
      </w:r>
      <w:r w:rsidR="00CC4400" w:rsidRPr="007C263F">
        <w:t xml:space="preserve"> on the same r</w:t>
      </w:r>
      <w:r w:rsidR="00FB4DB6" w:rsidRPr="007C263F">
        <w:t>ota. You should NOT be required to cover proportionally more on</w:t>
      </w:r>
      <w:r w:rsidR="009944D8" w:rsidRPr="007C263F">
        <w:t>-</w:t>
      </w:r>
      <w:r w:rsidR="00FB4DB6" w:rsidRPr="007C263F">
        <w:t>calls</w:t>
      </w:r>
      <w:r w:rsidR="002D56D9" w:rsidRPr="007C263F">
        <w:t>/weekends</w:t>
      </w:r>
      <w:r w:rsidR="00462072">
        <w:t>/</w:t>
      </w:r>
      <w:r w:rsidRPr="007C263F">
        <w:t xml:space="preserve">etc </w:t>
      </w:r>
      <w:r w:rsidR="00462072">
        <w:t xml:space="preserve">as you would otherwise </w:t>
      </w:r>
      <w:r w:rsidRPr="007C263F">
        <w:t>not receiv</w:t>
      </w:r>
      <w:r w:rsidR="00462072">
        <w:t>e</w:t>
      </w:r>
      <w:r w:rsidRPr="007C263F">
        <w:t xml:space="preserve"> an equitable proportion of training time compared with </w:t>
      </w:r>
      <w:r w:rsidR="00462072">
        <w:t>full-time</w:t>
      </w:r>
      <w:r w:rsidR="00462072" w:rsidRPr="007C263F">
        <w:t xml:space="preserve"> </w:t>
      </w:r>
      <w:r w:rsidRPr="007C263F">
        <w:t>trainees.</w:t>
      </w:r>
    </w:p>
    <w:p w14:paraId="1091AB44" w14:textId="77777777" w:rsidR="007C351A" w:rsidRPr="007C263F" w:rsidRDefault="007C351A" w:rsidP="00593257"/>
    <w:p w14:paraId="03B1001F" w14:textId="24694A41" w:rsidR="00675D14" w:rsidRPr="007C263F" w:rsidRDefault="002A6635" w:rsidP="00593257">
      <w:r w:rsidRPr="007C263F">
        <w:t>The only instance where this will not be the case is where two LTFT are job sharing</w:t>
      </w:r>
      <w:r w:rsidR="00462072">
        <w:t>,</w:t>
      </w:r>
      <w:r w:rsidRPr="007C263F">
        <w:t xml:space="preserve"> i.e. doing the service provision of a single </w:t>
      </w:r>
      <w:r w:rsidR="00462072">
        <w:t>full-time</w:t>
      </w:r>
      <w:r w:rsidR="00462072" w:rsidRPr="007C263F">
        <w:t xml:space="preserve"> </w:t>
      </w:r>
      <w:r w:rsidRPr="007C263F">
        <w:t xml:space="preserve">slot on the rota. Here, each trainee would do 50% of the on-calls of the </w:t>
      </w:r>
      <w:r w:rsidR="00462072">
        <w:t>full-time</w:t>
      </w:r>
      <w:r w:rsidR="00462072" w:rsidRPr="007C263F">
        <w:t xml:space="preserve"> </w:t>
      </w:r>
      <w:r w:rsidRPr="007C263F">
        <w:t xml:space="preserve">trainees and make up their hours with normal days to make 60% overall. </w:t>
      </w:r>
      <w:r w:rsidR="00462072">
        <w:rPr>
          <w:bCs/>
        </w:rPr>
        <w:t>In this situation, an</w:t>
      </w:r>
      <w:r w:rsidR="00462072">
        <w:t xml:space="preserve"> </w:t>
      </w:r>
      <w:r w:rsidR="00B1456B" w:rsidRPr="007C263F">
        <w:t>a</w:t>
      </w:r>
      <w:r w:rsidR="003B1258" w:rsidRPr="007C263F">
        <w:t xml:space="preserve">greement </w:t>
      </w:r>
      <w:r w:rsidR="00B1456B" w:rsidRPr="007C263F">
        <w:t xml:space="preserve">is </w:t>
      </w:r>
      <w:r w:rsidR="003B1258" w:rsidRPr="007C263F">
        <w:t>needed</w:t>
      </w:r>
      <w:r w:rsidR="00CC4400" w:rsidRPr="007C263F">
        <w:t xml:space="preserve"> between the two trainees and r</w:t>
      </w:r>
      <w:r w:rsidR="009242D6" w:rsidRPr="007C263F">
        <w:t>ota-</w:t>
      </w:r>
      <w:r w:rsidR="006D5990" w:rsidRPr="007C263F">
        <w:t xml:space="preserve">writer for </w:t>
      </w:r>
      <w:r w:rsidR="00462072">
        <w:t>how to arrange weekend on-calls</w:t>
      </w:r>
      <w:r w:rsidR="009242D6" w:rsidRPr="007C263F">
        <w:t xml:space="preserve">. </w:t>
      </w:r>
      <w:r w:rsidR="00B1456B" w:rsidRPr="007C263F">
        <w:t xml:space="preserve">  </w:t>
      </w:r>
      <w:r w:rsidR="002D56D9" w:rsidRPr="007C263F">
        <w:t>We are funded as “slot shar</w:t>
      </w:r>
      <w:r w:rsidR="00B1456B" w:rsidRPr="007C263F">
        <w:t xml:space="preserve">es” </w:t>
      </w:r>
      <w:r w:rsidR="009F5807" w:rsidRPr="007C263F">
        <w:t xml:space="preserve">or “LTFT in a </w:t>
      </w:r>
      <w:r w:rsidR="00462072">
        <w:t>full-time</w:t>
      </w:r>
      <w:r w:rsidR="00462072" w:rsidRPr="007C263F">
        <w:t xml:space="preserve"> </w:t>
      </w:r>
      <w:r w:rsidR="009F5807" w:rsidRPr="007C263F">
        <w:t>slot”, NOT</w:t>
      </w:r>
      <w:r w:rsidR="002D56D9" w:rsidRPr="007C263F">
        <w:t xml:space="preserve"> as a “job share”</w:t>
      </w:r>
      <w:r w:rsidR="00D46F13" w:rsidRPr="007C263F">
        <w:t xml:space="preserve"> and LTFT trainees should not be compelled to split their weekends.</w:t>
      </w:r>
    </w:p>
    <w:p w14:paraId="392DAA37" w14:textId="77777777" w:rsidR="00B1456B" w:rsidRPr="007C263F" w:rsidRDefault="00B1456B" w:rsidP="00593257"/>
    <w:p w14:paraId="5F115D63" w14:textId="77777777" w:rsidR="009242D6" w:rsidRPr="007C263F" w:rsidRDefault="009242D6" w:rsidP="00593257"/>
    <w:p w14:paraId="2296C294" w14:textId="6ABA72F0" w:rsidR="008E1E56" w:rsidRPr="007C263F" w:rsidRDefault="00B1456B" w:rsidP="00593257">
      <w:pPr>
        <w:pStyle w:val="Heading2"/>
      </w:pPr>
      <w:r w:rsidRPr="007C263F">
        <w:t>Training</w:t>
      </w:r>
    </w:p>
    <w:p w14:paraId="2C81612B" w14:textId="77777777" w:rsidR="00CC4400" w:rsidRPr="007C263F" w:rsidRDefault="00CC4400" w:rsidP="00593257"/>
    <w:p w14:paraId="057ABD24" w14:textId="77777777" w:rsidR="00B1456B" w:rsidRPr="007C263F" w:rsidRDefault="00B1456B" w:rsidP="00593257">
      <w:pPr>
        <w:pStyle w:val="Heading3"/>
      </w:pPr>
      <w:r w:rsidRPr="007C263F">
        <w:t>Making the most of training</w:t>
      </w:r>
    </w:p>
    <w:p w14:paraId="0B4C575E" w14:textId="4750CFBF" w:rsidR="00B1456B" w:rsidRPr="007C263F" w:rsidRDefault="00B1456B" w:rsidP="00593257">
      <w:r w:rsidRPr="007C263F">
        <w:t xml:space="preserve">Sometimes you may need to be flexible with your working days </w:t>
      </w:r>
      <w:r w:rsidR="00462072" w:rsidRPr="007C263F">
        <w:t>to</w:t>
      </w:r>
      <w:r w:rsidRPr="007C263F">
        <w:t xml:space="preserve"> attend clinical activities which only happen on </w:t>
      </w:r>
      <w:r w:rsidR="00462072">
        <w:t>certain</w:t>
      </w:r>
      <w:r w:rsidR="00462072" w:rsidRPr="007C263F">
        <w:t xml:space="preserve"> </w:t>
      </w:r>
      <w:r w:rsidRPr="007C263F">
        <w:t xml:space="preserve">days </w:t>
      </w:r>
      <w:r w:rsidR="00462072" w:rsidRPr="007C263F">
        <w:t>e.g.,</w:t>
      </w:r>
      <w:r w:rsidRPr="007C263F">
        <w:t xml:space="preserve"> a specific clinic or theatre list. If this is the </w:t>
      </w:r>
      <w:r w:rsidR="00462072" w:rsidRPr="007C263F">
        <w:t>case,</w:t>
      </w:r>
      <w:r w:rsidRPr="007C263F">
        <w:t xml:space="preserve"> then you should</w:t>
      </w:r>
      <w:r w:rsidR="00767444" w:rsidRPr="007C263F">
        <w:t xml:space="preserve"> ge</w:t>
      </w:r>
      <w:r w:rsidR="000B072B" w:rsidRPr="007C263F">
        <w:t>t a compensatory day in lieu. The</w:t>
      </w:r>
      <w:r w:rsidR="00767444" w:rsidRPr="007C263F">
        <w:t xml:space="preserve"> </w:t>
      </w:r>
      <w:r w:rsidRPr="007C263F">
        <w:t xml:space="preserve">same applies for </w:t>
      </w:r>
      <w:r w:rsidR="000B072B" w:rsidRPr="007C263F">
        <w:t xml:space="preserve">any </w:t>
      </w:r>
      <w:r w:rsidRPr="007C263F">
        <w:t>teaching sessions</w:t>
      </w:r>
      <w:r w:rsidR="00767444" w:rsidRPr="007C263F">
        <w:t xml:space="preserve"> you attend on non-working days</w:t>
      </w:r>
      <w:r w:rsidRPr="007C263F">
        <w:t xml:space="preserve">. Formal departmental teaching sessions should be attended as frequently as possible, </w:t>
      </w:r>
      <w:r w:rsidR="00E663BE">
        <w:t xml:space="preserve">although </w:t>
      </w:r>
      <w:r w:rsidR="00A16E9B" w:rsidRPr="007C263F">
        <w:t>i</w:t>
      </w:r>
      <w:r w:rsidRPr="007C263F">
        <w:t>t should not be compulsory to attend teaching sessions which fall on a non-working day. Departments should consider scheduling teaching on days that maximises attendance by all trainees, including those who are LTFT.</w:t>
      </w:r>
      <w:r w:rsidR="00DD2C8B" w:rsidRPr="007C263F">
        <w:t xml:space="preserve"> </w:t>
      </w:r>
      <w:r w:rsidR="00E663BE">
        <w:t xml:space="preserve">Post FRCA </w:t>
      </w:r>
      <w:r w:rsidR="00DD2C8B" w:rsidRPr="007C263F">
        <w:t>OxDAT teaching occurs on rotating days of the week, ensuring equitable acc</w:t>
      </w:r>
      <w:r w:rsidR="00767444" w:rsidRPr="007C263F">
        <w:t>ess to training days for LTFT trainees</w:t>
      </w:r>
      <w:r w:rsidR="00DD2C8B" w:rsidRPr="007C263F">
        <w:t>.</w:t>
      </w:r>
    </w:p>
    <w:p w14:paraId="0AC0775C" w14:textId="77777777" w:rsidR="00B1456B" w:rsidRPr="007C263F" w:rsidRDefault="00B1456B" w:rsidP="00593257"/>
    <w:p w14:paraId="4929C898" w14:textId="45174234" w:rsidR="00CC4400" w:rsidRPr="007C263F" w:rsidRDefault="00CC4400" w:rsidP="00593257">
      <w:pPr>
        <w:pStyle w:val="Heading3"/>
      </w:pPr>
      <w:r w:rsidRPr="007C263F">
        <w:lastRenderedPageBreak/>
        <w:t>Study leave and funding</w:t>
      </w:r>
    </w:p>
    <w:p w14:paraId="482C67A4" w14:textId="023E9FA4" w:rsidR="002F3C86" w:rsidRPr="007C263F" w:rsidRDefault="002F3C86" w:rsidP="00593257">
      <w:pPr>
        <w:rPr>
          <w:i/>
          <w:u w:val="single"/>
        </w:rPr>
      </w:pPr>
      <w:r w:rsidRPr="007C263F">
        <w:t xml:space="preserve">The current HEETV study leave policy is available at </w:t>
      </w:r>
      <w:hyperlink r:id="rId10" w:history="1">
        <w:r w:rsidR="00E663BE" w:rsidRPr="00737BE9">
          <w:rPr>
            <w:rStyle w:val="Hyperlink"/>
            <w:rFonts w:cs="Calibri"/>
          </w:rPr>
          <w:t>https://thamesvalley.hee.nhs.uk/resources-information/trainee-information/study-leave-for-doctors/</w:t>
        </w:r>
      </w:hyperlink>
      <w:r w:rsidR="00E663BE">
        <w:t xml:space="preserve"> </w:t>
      </w:r>
      <w:r w:rsidR="00E663BE" w:rsidRPr="00E663BE" w:rsidDel="00E663BE">
        <w:t xml:space="preserve"> </w:t>
      </w:r>
    </w:p>
    <w:p w14:paraId="4B53E62F" w14:textId="77777777" w:rsidR="002F3C86" w:rsidRPr="007C263F" w:rsidRDefault="002F3C86" w:rsidP="00593257"/>
    <w:p w14:paraId="16D669F7" w14:textId="377F1478" w:rsidR="002F3C86" w:rsidRPr="007C263F" w:rsidRDefault="002F3C86" w:rsidP="00593257">
      <w:pPr>
        <w:rPr>
          <w:u w:val="single"/>
        </w:rPr>
      </w:pPr>
      <w:r w:rsidRPr="007C263F">
        <w:t xml:space="preserve">LTFT trainees are entitled to a pro-rata share of study leave </w:t>
      </w:r>
      <w:r w:rsidR="00DD2C8B" w:rsidRPr="007C263F">
        <w:t>days and equitable access to funding (currently uncapped)</w:t>
      </w:r>
      <w:r w:rsidR="007C351A" w:rsidRPr="007C263F">
        <w:t>. In addition, if you are</w:t>
      </w:r>
      <w:r w:rsidRPr="007C263F">
        <w:t xml:space="preserve"> required to undertake a course by the curriculum</w:t>
      </w:r>
      <w:r w:rsidR="007C351A" w:rsidRPr="007C263F">
        <w:t xml:space="preserve"> that will exceed your </w:t>
      </w:r>
      <w:r w:rsidR="00E663BE" w:rsidRPr="007C263F">
        <w:t>pro</w:t>
      </w:r>
      <w:r w:rsidR="00E663BE">
        <w:t>-</w:t>
      </w:r>
      <w:r w:rsidR="007C351A" w:rsidRPr="007C263F">
        <w:t>rata</w:t>
      </w:r>
      <w:r w:rsidRPr="007C263F">
        <w:t xml:space="preserve"> allowance then should </w:t>
      </w:r>
      <w:r w:rsidR="00767444" w:rsidRPr="007C263F">
        <w:t xml:space="preserve">be </w:t>
      </w:r>
      <w:r w:rsidRPr="007C263F">
        <w:t>allow</w:t>
      </w:r>
      <w:r w:rsidR="00767444" w:rsidRPr="007C263F">
        <w:t>ed</w:t>
      </w:r>
      <w:r w:rsidR="007C351A" w:rsidRPr="007C263F">
        <w:t xml:space="preserve"> </w:t>
      </w:r>
      <w:r w:rsidRPr="007C263F">
        <w:t>a</w:t>
      </w:r>
      <w:r w:rsidR="007C351A" w:rsidRPr="007C263F">
        <w:t>dditional study leave</w:t>
      </w:r>
      <w:r w:rsidRPr="007C263F">
        <w:t xml:space="preserve">, provided </w:t>
      </w:r>
      <w:r w:rsidR="00DD2C8B" w:rsidRPr="007C263F">
        <w:t xml:space="preserve">safe </w:t>
      </w:r>
      <w:r w:rsidRPr="007C263F">
        <w:t>service delivery is not compromised.</w:t>
      </w:r>
    </w:p>
    <w:p w14:paraId="6C360063" w14:textId="77777777" w:rsidR="002F3C86" w:rsidRPr="007C263F" w:rsidRDefault="002F3C86" w:rsidP="00593257"/>
    <w:p w14:paraId="3551172A" w14:textId="59AD5DAC" w:rsidR="00B1456B" w:rsidRPr="007C263F" w:rsidRDefault="00B1456B" w:rsidP="00593257">
      <w:r w:rsidRPr="007C263F">
        <w:t>If you wish to attend a teaching session or course which falls on your non-working day then you are entitled to arrange a day off in lieu</w:t>
      </w:r>
      <w:r w:rsidR="00E663BE">
        <w:t>. H</w:t>
      </w:r>
      <w:r w:rsidRPr="007C263F">
        <w:t>owever</w:t>
      </w:r>
      <w:r w:rsidR="00E663BE">
        <w:t>,</w:t>
      </w:r>
      <w:r w:rsidRPr="007C263F">
        <w:t xml:space="preserve"> you must agree this in advance and ensure that this does not compromise your ability to complete all the necessary competencies.</w:t>
      </w:r>
    </w:p>
    <w:p w14:paraId="2C86B571" w14:textId="77777777" w:rsidR="002F3C86" w:rsidRPr="007C263F" w:rsidRDefault="002F3C86" w:rsidP="00593257"/>
    <w:p w14:paraId="512A8EA2" w14:textId="6AEF625A" w:rsidR="002F3C86" w:rsidRPr="007C263F" w:rsidRDefault="002F3C86" w:rsidP="00593257">
      <w:r w:rsidRPr="007C263F">
        <w:t xml:space="preserve">Please seek advice from your </w:t>
      </w:r>
      <w:r w:rsidR="00E663BE">
        <w:t>educational supervisor</w:t>
      </w:r>
      <w:r w:rsidR="00767444" w:rsidRPr="007C263F">
        <w:t>, college tutor or training programme director</w:t>
      </w:r>
      <w:r w:rsidRPr="007C263F">
        <w:t xml:space="preserve"> if required for further clarification.</w:t>
      </w:r>
    </w:p>
    <w:p w14:paraId="63C02E5A" w14:textId="77777777" w:rsidR="00957483" w:rsidRPr="007C263F" w:rsidRDefault="00957483" w:rsidP="00593257"/>
    <w:p w14:paraId="53FBF3BE" w14:textId="0DD853E8" w:rsidR="00B1456B" w:rsidRPr="007C263F" w:rsidRDefault="00B1456B" w:rsidP="00593257">
      <w:pPr>
        <w:pStyle w:val="Heading3"/>
      </w:pPr>
      <w:r w:rsidRPr="007C263F">
        <w:t>Training Modules / Blocks</w:t>
      </w:r>
    </w:p>
    <w:p w14:paraId="03C2997E" w14:textId="30E90E49" w:rsidR="00B1456B" w:rsidRPr="007C263F" w:rsidRDefault="00B1456B" w:rsidP="00593257">
      <w:r w:rsidRPr="007C263F">
        <w:t>Any units of training which are organised in modules or blocks of subspecialty areas should offer LTFT trainees an equivalent per</w:t>
      </w:r>
      <w:r w:rsidR="00767444" w:rsidRPr="007C263F">
        <w:t xml:space="preserve">iod of training as offered to </w:t>
      </w:r>
      <w:r w:rsidR="00E663BE" w:rsidRPr="007C263F">
        <w:t>full</w:t>
      </w:r>
      <w:r w:rsidR="00E663BE">
        <w:t>-</w:t>
      </w:r>
      <w:r w:rsidR="00767444" w:rsidRPr="007C263F">
        <w:t>time</w:t>
      </w:r>
      <w:r w:rsidRPr="007C263F">
        <w:t xml:space="preserve"> trainees. However, you may need to make the person who organises these blocks or modules aware that you are</w:t>
      </w:r>
      <w:r w:rsidR="00E663BE">
        <w:t xml:space="preserve"> a</w:t>
      </w:r>
      <w:r w:rsidRPr="007C263F">
        <w:t xml:space="preserve"> LTFT </w:t>
      </w:r>
      <w:r w:rsidR="00E663BE">
        <w:t xml:space="preserve">trainee </w:t>
      </w:r>
      <w:r w:rsidRPr="007C263F">
        <w:t xml:space="preserve">as they may well be a </w:t>
      </w:r>
      <w:r w:rsidR="00767444" w:rsidRPr="007C263F">
        <w:t>different person from the</w:t>
      </w:r>
      <w:r w:rsidRPr="007C263F">
        <w:t xml:space="preserve"> rota-writer. It would be pru</w:t>
      </w:r>
      <w:r w:rsidR="000B072B" w:rsidRPr="007C263F">
        <w:t xml:space="preserve">dent to do this well in advance. </w:t>
      </w:r>
      <w:r w:rsidR="00957483" w:rsidRPr="007C263F">
        <w:t>Your college tutor,</w:t>
      </w:r>
      <w:r w:rsidRPr="007C263F">
        <w:t xml:space="preserve"> departmental rota writer or secretaries should be able to provide you with their contact details.</w:t>
      </w:r>
    </w:p>
    <w:p w14:paraId="28169D23" w14:textId="77777777" w:rsidR="00766A79" w:rsidRPr="007C263F" w:rsidRDefault="00766A79" w:rsidP="00593257"/>
    <w:p w14:paraId="0696FD38" w14:textId="77777777" w:rsidR="00766A79" w:rsidRPr="007C263F" w:rsidRDefault="00766A79" w:rsidP="00593257">
      <w:pPr>
        <w:pStyle w:val="Heading3"/>
      </w:pPr>
      <w:r w:rsidRPr="007C263F">
        <w:t>ARCPs</w:t>
      </w:r>
    </w:p>
    <w:p w14:paraId="697CF4FB" w14:textId="047AE42E" w:rsidR="00766A79" w:rsidRPr="00593257" w:rsidRDefault="00E663BE" w:rsidP="00593257">
      <w:r w:rsidRPr="00593257">
        <w:t>A</w:t>
      </w:r>
      <w:r w:rsidR="00766A79" w:rsidRPr="00593257">
        <w:t xml:space="preserve">ll trainees, whether </w:t>
      </w:r>
      <w:r w:rsidR="004024E9" w:rsidRPr="00593257">
        <w:t>full-</w:t>
      </w:r>
      <w:r w:rsidR="00A76575" w:rsidRPr="00593257">
        <w:t xml:space="preserve">time </w:t>
      </w:r>
      <w:r w:rsidR="00766A79" w:rsidRPr="00593257">
        <w:t xml:space="preserve">or </w:t>
      </w:r>
      <w:r w:rsidR="004024E9" w:rsidRPr="00593257">
        <w:t>LTFT</w:t>
      </w:r>
      <w:r w:rsidR="00766A79" w:rsidRPr="00593257">
        <w:t xml:space="preserve"> must have an ARCP each calendar year.</w:t>
      </w:r>
      <w:r w:rsidR="00A22052" w:rsidRPr="00593257">
        <w:t xml:space="preserve"> </w:t>
      </w:r>
      <w:r w:rsidR="00957483" w:rsidRPr="00593257">
        <w:t xml:space="preserve">Some of the requirements for each ARCP cycle are pro-rata and others are not – check the ARCP checklist paperwork carefully and clarify well in advance with your </w:t>
      </w:r>
      <w:r w:rsidR="004024E9" w:rsidRPr="00593257">
        <w:t xml:space="preserve">educational supervisor </w:t>
      </w:r>
      <w:r w:rsidR="00957483" w:rsidRPr="00593257">
        <w:t xml:space="preserve">or </w:t>
      </w:r>
      <w:r w:rsidR="004024E9" w:rsidRPr="00593257">
        <w:t>training programme director</w:t>
      </w:r>
      <w:r w:rsidR="004024E9" w:rsidRPr="00593257" w:rsidDel="004024E9">
        <w:t xml:space="preserve"> </w:t>
      </w:r>
      <w:r w:rsidR="00957483" w:rsidRPr="00593257">
        <w:t xml:space="preserve">if you are unsure what </w:t>
      </w:r>
      <w:r w:rsidR="00A76575" w:rsidRPr="00593257">
        <w:t xml:space="preserve">evidence </w:t>
      </w:r>
      <w:r w:rsidR="00957483" w:rsidRPr="00593257">
        <w:t>will be expected.</w:t>
      </w:r>
    </w:p>
    <w:p w14:paraId="6A978070" w14:textId="77777777" w:rsidR="006B60D6" w:rsidRPr="007C263F" w:rsidRDefault="006B60D6" w:rsidP="00593257"/>
    <w:p w14:paraId="3EE743EC" w14:textId="79DFB37E" w:rsidR="00766A79" w:rsidRPr="007C263F" w:rsidRDefault="00766A79" w:rsidP="00593257">
      <w:pPr>
        <w:pStyle w:val="Heading3"/>
        <w:rPr>
          <w:vertAlign w:val="superscript"/>
        </w:rPr>
      </w:pPr>
      <w:r w:rsidRPr="007C263F">
        <w:t>C</w:t>
      </w:r>
      <w:r w:rsidR="00A22052" w:rsidRPr="007C263F">
        <w:t>C</w:t>
      </w:r>
      <w:r w:rsidRPr="007C263F">
        <w:t>T dates</w:t>
      </w:r>
    </w:p>
    <w:p w14:paraId="387E1FD1" w14:textId="2B8E1D8C" w:rsidR="004024E9" w:rsidRDefault="00766A79" w:rsidP="00593257">
      <w:r w:rsidRPr="00593257">
        <w:rPr>
          <w:b/>
          <w:bCs/>
        </w:rPr>
        <w:t>You need to inform the Royal College of Anaesthetists once you have been approved as les</w:t>
      </w:r>
      <w:r w:rsidR="00A16E9B" w:rsidRPr="00593257">
        <w:rPr>
          <w:b/>
          <w:bCs/>
        </w:rPr>
        <w:t>s than full time so that they can</w:t>
      </w:r>
      <w:r w:rsidRPr="00593257">
        <w:rPr>
          <w:b/>
          <w:bCs/>
        </w:rPr>
        <w:t xml:space="preserve"> recalculate your CCT date.</w:t>
      </w:r>
      <w:r w:rsidRPr="007C263F">
        <w:t xml:space="preserve"> </w:t>
      </w:r>
      <w:r w:rsidR="00970C49">
        <w:t xml:space="preserve">It is sensible to keep track of your own dates for LTFT and any leave you take. You </w:t>
      </w:r>
      <w:r w:rsidRPr="007C263F">
        <w:t xml:space="preserve">will need this for </w:t>
      </w:r>
      <w:r w:rsidR="00957483" w:rsidRPr="007C263F">
        <w:t>y</w:t>
      </w:r>
      <w:r w:rsidRPr="007C263F">
        <w:t>our</w:t>
      </w:r>
      <w:r w:rsidR="00957483" w:rsidRPr="007C263F">
        <w:t xml:space="preserve"> Form R at</w:t>
      </w:r>
      <w:r w:rsidRPr="007C263F">
        <w:t xml:space="preserve"> ARCP.</w:t>
      </w:r>
      <w:r w:rsidR="004024E9">
        <w:t xml:space="preserve"> </w:t>
      </w:r>
      <w:r w:rsidR="003D796D">
        <w:t>Y</w:t>
      </w:r>
      <w:r w:rsidR="004024E9">
        <w:t xml:space="preserve">ou can </w:t>
      </w:r>
      <w:r w:rsidR="003D796D">
        <w:t>approximate time left in training by u</w:t>
      </w:r>
      <w:r w:rsidR="004024E9">
        <w:t>sing the following formula:</w:t>
      </w:r>
    </w:p>
    <w:p w14:paraId="300155C9" w14:textId="77777777" w:rsidR="004024E9" w:rsidRDefault="004024E9" w:rsidP="00593257"/>
    <w:p w14:paraId="49259BC3" w14:textId="52546F2D" w:rsidR="00766A79" w:rsidRDefault="004024E9" w:rsidP="00593257">
      <w:r>
        <w:t>Months left in training if full-time x (</w:t>
      </w:r>
      <w:r w:rsidR="003D796D">
        <w:t xml:space="preserve">2 – your LTFT percentage as a proportion) </w:t>
      </w:r>
    </w:p>
    <w:p w14:paraId="64E851DC" w14:textId="019B0C4F" w:rsidR="003D796D" w:rsidRPr="007C263F" w:rsidRDefault="003D796D" w:rsidP="00593257">
      <w:r>
        <w:t>e.g. 36 months x (2 – 0.6) = 50.4 months</w:t>
      </w:r>
    </w:p>
    <w:p w14:paraId="0BBED0B6" w14:textId="77777777" w:rsidR="00B1456B" w:rsidRPr="007C263F" w:rsidRDefault="00B1456B" w:rsidP="00593257"/>
    <w:p w14:paraId="32597CEE" w14:textId="76F804BC" w:rsidR="00B1456B" w:rsidRPr="007C263F" w:rsidRDefault="003C0106" w:rsidP="00593257">
      <w:pPr>
        <w:pStyle w:val="Heading3"/>
      </w:pPr>
      <w:r w:rsidRPr="007C263F">
        <w:t>Locum shifts</w:t>
      </w:r>
    </w:p>
    <w:p w14:paraId="236C726A" w14:textId="195D3907" w:rsidR="00BC321D" w:rsidRPr="007C263F" w:rsidRDefault="00D46F13" w:rsidP="00593257">
      <w:r w:rsidRPr="007C263F">
        <w:t xml:space="preserve">The position of the </w:t>
      </w:r>
      <w:r w:rsidR="00A15B79" w:rsidRPr="007C263F">
        <w:t xml:space="preserve">HEETV Anaesthetics </w:t>
      </w:r>
      <w:r w:rsidRPr="007C263F">
        <w:t>School B</w:t>
      </w:r>
      <w:r w:rsidR="006B60D6" w:rsidRPr="007C263F">
        <w:t xml:space="preserve">oard is that LTFT trainees are permitted to undertake locum work without seeking individual approval beforehand </w:t>
      </w:r>
      <w:r w:rsidR="006B60D6" w:rsidRPr="007C263F">
        <w:lastRenderedPageBreak/>
        <w:t>as long as the number of additional hours worked does not bring the trainee up to working full-time hours and that all shifts are declared appropriately on the Form R/Whole Scope of Practice forms at each ARCP.</w:t>
      </w:r>
    </w:p>
    <w:p w14:paraId="51273422" w14:textId="77777777" w:rsidR="006B60D6" w:rsidRPr="007C263F" w:rsidRDefault="006B60D6" w:rsidP="00593257"/>
    <w:p w14:paraId="18688039" w14:textId="4E1378FE" w:rsidR="008256D5" w:rsidRDefault="008256D5" w:rsidP="00593257">
      <w:pPr>
        <w:pStyle w:val="Heading2"/>
      </w:pPr>
      <w:r>
        <w:t>Something not covered?</w:t>
      </w:r>
    </w:p>
    <w:p w14:paraId="5C158BB4" w14:textId="445671B6" w:rsidR="008256D5" w:rsidRDefault="008256D5" w:rsidP="00593257">
      <w:r>
        <w:t>Don’t hesitate getting in touch with the OxDAT LTFT reps</w:t>
      </w:r>
      <w:r w:rsidR="0076419A">
        <w:t xml:space="preserve"> (</w:t>
      </w:r>
      <w:hyperlink r:id="rId11" w:history="1">
        <w:r w:rsidR="0076419A" w:rsidRPr="0040746B">
          <w:rPr>
            <w:rStyle w:val="Hyperlink"/>
          </w:rPr>
          <w:t>ltft@oxdat.com</w:t>
        </w:r>
      </w:hyperlink>
      <w:r w:rsidR="0076419A">
        <w:t>)</w:t>
      </w:r>
      <w:r>
        <w:t>. They may be able to answer your questions or direct you to someone who can.</w:t>
      </w:r>
    </w:p>
    <w:p w14:paraId="0BCDEEDA" w14:textId="77777777" w:rsidR="008256D5" w:rsidRPr="007C263F" w:rsidRDefault="008256D5" w:rsidP="00593257"/>
    <w:p w14:paraId="0F1E0F70" w14:textId="77777777" w:rsidR="00766A79" w:rsidRPr="007C263F" w:rsidRDefault="00766A79" w:rsidP="00593257"/>
    <w:p w14:paraId="723183A0" w14:textId="76F448F4" w:rsidR="006B60D6" w:rsidRPr="007C263F" w:rsidRDefault="006B60D6" w:rsidP="0076419A">
      <w:pPr>
        <w:pStyle w:val="Heading2"/>
      </w:pPr>
      <w:r w:rsidRPr="007C263F">
        <w:t>Useful Resources</w:t>
      </w:r>
    </w:p>
    <w:p w14:paraId="6E27C19C" w14:textId="77777777" w:rsidR="00974D72" w:rsidRPr="007C263F" w:rsidRDefault="00974D72" w:rsidP="00593257">
      <w:pPr>
        <w:pStyle w:val="ListParagraph"/>
        <w:numPr>
          <w:ilvl w:val="0"/>
          <w:numId w:val="8"/>
        </w:numPr>
      </w:pPr>
      <w:r w:rsidRPr="007C263F">
        <w:t>NHS Employers/BMA Good Rostering Guidance (2018)</w:t>
      </w:r>
    </w:p>
    <w:p w14:paraId="6A24EF64" w14:textId="7B93BF88" w:rsidR="00A22052" w:rsidRPr="005D4286" w:rsidRDefault="008E4822" w:rsidP="00593257">
      <w:pPr>
        <w:rPr>
          <w:rStyle w:val="Hyperlink"/>
        </w:rPr>
      </w:pPr>
      <w:hyperlink r:id="rId12" w:history="1">
        <w:r w:rsidR="00974D72" w:rsidRPr="005D4286">
          <w:rPr>
            <w:rStyle w:val="Hyperlink"/>
          </w:rPr>
          <w:t>https://www.nhsemployers.org/-/media/Employers/Publications/NHSE-BMA-Good-rostering-170518-final.pdf</w:t>
        </w:r>
      </w:hyperlink>
    </w:p>
    <w:p w14:paraId="1F301502" w14:textId="77777777" w:rsidR="006B60D6" w:rsidRPr="007C263F" w:rsidRDefault="006B60D6" w:rsidP="00593257">
      <w:pPr>
        <w:rPr>
          <w:rStyle w:val="Hyperlink"/>
          <w:b/>
        </w:rPr>
      </w:pPr>
    </w:p>
    <w:p w14:paraId="588FC1A8" w14:textId="3B07D757" w:rsidR="006B60D6" w:rsidRPr="005D4286" w:rsidRDefault="006B60D6" w:rsidP="00593257">
      <w:pPr>
        <w:pStyle w:val="ListParagraph"/>
        <w:numPr>
          <w:ilvl w:val="0"/>
          <w:numId w:val="8"/>
        </w:numPr>
        <w:rPr>
          <w:b/>
          <w:u w:val="single"/>
        </w:rPr>
      </w:pPr>
      <w:r w:rsidRPr="007C263F">
        <w:t xml:space="preserve">Terms and conditions of service for doctors and dentists in training (England) 2016 – version </w:t>
      </w:r>
      <w:r w:rsidR="003D796D">
        <w:t>9</w:t>
      </w:r>
      <w:r w:rsidR="003D796D" w:rsidRPr="007C263F">
        <w:t xml:space="preserve"> </w:t>
      </w:r>
      <w:r w:rsidR="003D796D">
        <w:t>April</w:t>
      </w:r>
      <w:r w:rsidR="003D796D" w:rsidRPr="007C263F">
        <w:t xml:space="preserve"> 20</w:t>
      </w:r>
      <w:r w:rsidR="003D796D">
        <w:t>21</w:t>
      </w:r>
    </w:p>
    <w:p w14:paraId="23B6512E" w14:textId="2A63B1B9" w:rsidR="003D796D" w:rsidRPr="003D796D" w:rsidRDefault="008E4822" w:rsidP="00593257">
      <w:hyperlink r:id="rId13" w:history="1">
        <w:r w:rsidR="003D796D" w:rsidRPr="005D4286">
          <w:rPr>
            <w:rStyle w:val="Hyperlink"/>
            <w:bCs/>
          </w:rPr>
          <w:t>https://www.nhsemployers.org/sites/default/files/media/NHS-doctors-and-dentists-in-training-eng-tcs-v9_0.pdf</w:t>
        </w:r>
      </w:hyperlink>
      <w:r w:rsidR="003D796D" w:rsidRPr="005D4286">
        <w:t xml:space="preserve"> </w:t>
      </w:r>
    </w:p>
    <w:p w14:paraId="12A29F1B" w14:textId="77777777" w:rsidR="006B60D6" w:rsidRPr="007C263F" w:rsidRDefault="006B60D6" w:rsidP="00593257"/>
    <w:p w14:paraId="46490F94" w14:textId="5B0B47EF" w:rsidR="00974D72" w:rsidRPr="007C263F" w:rsidRDefault="00974D72" w:rsidP="00593257">
      <w:pPr>
        <w:pStyle w:val="ListParagraph"/>
        <w:numPr>
          <w:ilvl w:val="0"/>
          <w:numId w:val="8"/>
        </w:numPr>
      </w:pPr>
      <w:r w:rsidRPr="007C263F">
        <w:t xml:space="preserve">COPMED Gold Guide (last amended </w:t>
      </w:r>
      <w:r w:rsidR="008C2C7B">
        <w:t>8</w:t>
      </w:r>
      <w:r w:rsidR="008C2C7B" w:rsidRPr="007C263F">
        <w:rPr>
          <w:vertAlign w:val="superscript"/>
        </w:rPr>
        <w:t>th</w:t>
      </w:r>
      <w:r w:rsidR="008C2C7B" w:rsidRPr="007C263F">
        <w:t xml:space="preserve"> </w:t>
      </w:r>
      <w:r w:rsidRPr="007C263F">
        <w:t xml:space="preserve">edition January </w:t>
      </w:r>
      <w:r w:rsidR="008C2C7B" w:rsidRPr="007C263F">
        <w:t>20</w:t>
      </w:r>
      <w:r w:rsidR="008C2C7B">
        <w:t>20</w:t>
      </w:r>
      <w:r w:rsidRPr="007C263F">
        <w:t>)</w:t>
      </w:r>
    </w:p>
    <w:p w14:paraId="74BEA4B3" w14:textId="013E1F6E" w:rsidR="008C2C7B" w:rsidRPr="005D4286" w:rsidRDefault="008E4822" w:rsidP="00593257">
      <w:hyperlink r:id="rId14" w:history="1">
        <w:r w:rsidR="008C2C7B" w:rsidRPr="005D4286">
          <w:rPr>
            <w:rStyle w:val="Hyperlink"/>
          </w:rPr>
          <w:t>https://www.copmed.org.uk/gold-guide-8th-edition/</w:t>
        </w:r>
      </w:hyperlink>
      <w:r w:rsidR="008C2C7B" w:rsidRPr="003D796D">
        <w:t xml:space="preserve"> </w:t>
      </w:r>
      <w:r w:rsidR="008C2C7B" w:rsidRPr="003D796D" w:rsidDel="008C2C7B">
        <w:t xml:space="preserve"> </w:t>
      </w:r>
      <w:r w:rsidR="008C2C7B" w:rsidRPr="003D796D">
        <w:t xml:space="preserve"> </w:t>
      </w:r>
    </w:p>
    <w:p w14:paraId="5CBA1079" w14:textId="77777777" w:rsidR="000A34D7" w:rsidRPr="007C263F" w:rsidRDefault="000A34D7" w:rsidP="00593257">
      <w:pPr>
        <w:pStyle w:val="ListParagraph"/>
      </w:pPr>
    </w:p>
    <w:p w14:paraId="767C21DF" w14:textId="56FEDA27" w:rsidR="00BB74C3" w:rsidRPr="007C263F" w:rsidRDefault="006B60D6" w:rsidP="00593257">
      <w:pPr>
        <w:pStyle w:val="ListParagraph"/>
        <w:numPr>
          <w:ilvl w:val="0"/>
          <w:numId w:val="8"/>
        </w:numPr>
      </w:pPr>
      <w:r w:rsidRPr="007C263F">
        <w:t xml:space="preserve">HEETV </w:t>
      </w:r>
      <w:r w:rsidR="00974D72" w:rsidRPr="007C263F">
        <w:t xml:space="preserve">Study leave policy </w:t>
      </w:r>
    </w:p>
    <w:p w14:paraId="5D1430A6" w14:textId="5833945C" w:rsidR="003D796D" w:rsidRPr="003D796D" w:rsidRDefault="008E4822" w:rsidP="00593257">
      <w:hyperlink r:id="rId15" w:history="1">
        <w:r w:rsidR="003D796D" w:rsidRPr="00737BE9">
          <w:rPr>
            <w:rStyle w:val="Hyperlink"/>
            <w:rFonts w:cs="Calibri"/>
          </w:rPr>
          <w:t>https://thamesvalley.hee.nhs.uk/resources-information/trainee-information/study-leave-for-doctors/</w:t>
        </w:r>
      </w:hyperlink>
      <w:r w:rsidR="003D796D">
        <w:t xml:space="preserve"> </w:t>
      </w:r>
      <w:r w:rsidR="003D796D" w:rsidRPr="00E663BE" w:rsidDel="00E663BE">
        <w:t xml:space="preserve"> </w:t>
      </w:r>
    </w:p>
    <w:p w14:paraId="32CE3BF0" w14:textId="77777777" w:rsidR="006B60D6" w:rsidRPr="007C263F" w:rsidRDefault="006B60D6" w:rsidP="00593257"/>
    <w:p w14:paraId="2BBBAE2D" w14:textId="4DCF7B0B" w:rsidR="00352438" w:rsidRPr="007C263F" w:rsidRDefault="003D796D" w:rsidP="00593257">
      <w:pPr>
        <w:pStyle w:val="ListParagraph"/>
        <w:numPr>
          <w:ilvl w:val="0"/>
          <w:numId w:val="8"/>
        </w:numPr>
      </w:pPr>
      <w:r>
        <w:t xml:space="preserve">NHS </w:t>
      </w:r>
      <w:r w:rsidR="00352438" w:rsidRPr="007C263F">
        <w:t>Terms and Conditions of Service</w:t>
      </w:r>
      <w:r>
        <w:t xml:space="preserve"> </w:t>
      </w:r>
    </w:p>
    <w:p w14:paraId="565DB4DA" w14:textId="2568FA3E" w:rsidR="00352438" w:rsidRPr="007C263F" w:rsidRDefault="008E4822" w:rsidP="00593257">
      <w:pPr>
        <w:rPr>
          <w:rStyle w:val="Hyperlink"/>
        </w:rPr>
      </w:pPr>
      <w:hyperlink r:id="rId16" w:history="1">
        <w:r w:rsidR="00766A79" w:rsidRPr="007C263F">
          <w:rPr>
            <w:rStyle w:val="Hyperlink"/>
          </w:rPr>
          <w:t>https://www.nhsemployers.org/tchandbook</w:t>
        </w:r>
      </w:hyperlink>
    </w:p>
    <w:p w14:paraId="2CDE47D2" w14:textId="77777777" w:rsidR="006B60D6" w:rsidRPr="007C263F" w:rsidRDefault="006B60D6" w:rsidP="00593257">
      <w:pPr>
        <w:rPr>
          <w:rStyle w:val="Hyperlink"/>
        </w:rPr>
      </w:pPr>
    </w:p>
    <w:p w14:paraId="63F00402" w14:textId="3E1DC69E" w:rsidR="00352438" w:rsidRPr="007C263F" w:rsidRDefault="00352438" w:rsidP="00593257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 w:rsidRPr="007C263F">
        <w:rPr>
          <w:rStyle w:val="Hyperlink"/>
          <w:color w:val="auto"/>
          <w:u w:val="none"/>
        </w:rPr>
        <w:t>Employment Rights and Legislation</w:t>
      </w:r>
    </w:p>
    <w:p w14:paraId="77FFD7A8" w14:textId="13184579" w:rsidR="003D796D" w:rsidRDefault="008E4822" w:rsidP="00593257">
      <w:hyperlink r:id="rId17" w:history="1">
        <w:r w:rsidR="003D796D" w:rsidRPr="00737BE9">
          <w:rPr>
            <w:rStyle w:val="Hyperlink"/>
          </w:rPr>
          <w:t>https://www.acas.org.uk/maternity-paternity-and-adoption-leave-and-pay</w:t>
        </w:r>
      </w:hyperlink>
    </w:p>
    <w:p w14:paraId="526FD0F4" w14:textId="77777777" w:rsidR="003D796D" w:rsidRPr="003D796D" w:rsidRDefault="003D796D" w:rsidP="00593257"/>
    <w:p w14:paraId="2F28A225" w14:textId="2E66D06C" w:rsidR="00F47E14" w:rsidRPr="007C263F" w:rsidRDefault="00F47E14" w:rsidP="00593257">
      <w:pPr>
        <w:pStyle w:val="ListParagraph"/>
      </w:pPr>
    </w:p>
    <w:sectPr w:rsidR="00F47E14" w:rsidRPr="007C263F" w:rsidSect="00A36A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5B47" w14:textId="77777777" w:rsidR="008E4822" w:rsidRDefault="008E4822" w:rsidP="00593257">
      <w:r>
        <w:separator/>
      </w:r>
    </w:p>
  </w:endnote>
  <w:endnote w:type="continuationSeparator" w:id="0">
    <w:p w14:paraId="2079423C" w14:textId="77777777" w:rsidR="008E4822" w:rsidRDefault="008E4822" w:rsidP="005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34A4" w14:textId="77777777" w:rsidR="008256D5" w:rsidRDefault="008256D5" w:rsidP="00593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BD22" w14:textId="26880FA9" w:rsidR="006C08BC" w:rsidRPr="00593257" w:rsidRDefault="008256D5" w:rsidP="00593257">
    <w:pPr>
      <w:pStyle w:val="Footer"/>
      <w:rPr>
        <w:sz w:val="18"/>
        <w:szCs w:val="18"/>
      </w:rPr>
    </w:pPr>
    <w:r w:rsidRPr="00593257">
      <w:rPr>
        <w:sz w:val="18"/>
        <w:szCs w:val="18"/>
      </w:rPr>
      <w:t xml:space="preserve">First edition 2018: </w:t>
    </w:r>
    <w:r w:rsidR="006C08BC" w:rsidRPr="00593257">
      <w:rPr>
        <w:sz w:val="18"/>
        <w:szCs w:val="18"/>
      </w:rPr>
      <w:t>L</w:t>
    </w:r>
    <w:r w:rsidRPr="00593257">
      <w:rPr>
        <w:sz w:val="18"/>
        <w:szCs w:val="18"/>
      </w:rPr>
      <w:t xml:space="preserve"> </w:t>
    </w:r>
    <w:r w:rsidR="006C08BC" w:rsidRPr="00593257">
      <w:rPr>
        <w:sz w:val="18"/>
        <w:szCs w:val="18"/>
      </w:rPr>
      <w:t>Oakley</w:t>
    </w:r>
    <w:r w:rsidRPr="00593257">
      <w:rPr>
        <w:sz w:val="18"/>
        <w:szCs w:val="18"/>
      </w:rPr>
      <w:t xml:space="preserve">, </w:t>
    </w:r>
    <w:r w:rsidR="006C08BC" w:rsidRPr="00593257">
      <w:rPr>
        <w:sz w:val="18"/>
        <w:szCs w:val="18"/>
      </w:rPr>
      <w:t>T McAllister</w:t>
    </w:r>
    <w:r w:rsidRPr="00593257">
      <w:rPr>
        <w:sz w:val="18"/>
        <w:szCs w:val="18"/>
      </w:rPr>
      <w:t xml:space="preserve"> </w:t>
    </w:r>
    <w:r w:rsidR="00593257">
      <w:rPr>
        <w:sz w:val="18"/>
        <w:szCs w:val="18"/>
      </w:rPr>
      <w:t xml:space="preserve">| </w:t>
    </w:r>
    <w:r w:rsidR="00593257" w:rsidRPr="003B4256">
      <w:rPr>
        <w:sz w:val="18"/>
        <w:szCs w:val="18"/>
      </w:rPr>
      <w:t xml:space="preserve">Revised Oct 2021: S Kudsk-Iversen, S Hudson </w:t>
    </w:r>
  </w:p>
  <w:p w14:paraId="139DF1B0" w14:textId="5E549F06" w:rsidR="006C08BC" w:rsidRPr="00593257" w:rsidRDefault="006C08BC" w:rsidP="0059325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1812" w14:textId="77777777" w:rsidR="008256D5" w:rsidRDefault="008256D5" w:rsidP="00593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C0F5" w14:textId="77777777" w:rsidR="008E4822" w:rsidRDefault="008E4822" w:rsidP="00593257">
      <w:r>
        <w:separator/>
      </w:r>
    </w:p>
  </w:footnote>
  <w:footnote w:type="continuationSeparator" w:id="0">
    <w:p w14:paraId="63F79650" w14:textId="77777777" w:rsidR="008E4822" w:rsidRDefault="008E4822" w:rsidP="0059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5C7" w14:textId="77777777" w:rsidR="008256D5" w:rsidRDefault="008256D5" w:rsidP="00593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FE5D" w14:textId="77777777" w:rsidR="008256D5" w:rsidRDefault="008256D5" w:rsidP="0059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A7DF" w14:textId="77777777" w:rsidR="008256D5" w:rsidRDefault="008256D5" w:rsidP="00593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9F9"/>
    <w:multiLevelType w:val="hybridMultilevel"/>
    <w:tmpl w:val="B74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672"/>
    <w:multiLevelType w:val="hybridMultilevel"/>
    <w:tmpl w:val="A2EA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E30"/>
    <w:multiLevelType w:val="hybridMultilevel"/>
    <w:tmpl w:val="A944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0864"/>
    <w:multiLevelType w:val="hybridMultilevel"/>
    <w:tmpl w:val="172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955"/>
    <w:multiLevelType w:val="hybridMultilevel"/>
    <w:tmpl w:val="B41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06C"/>
    <w:multiLevelType w:val="hybridMultilevel"/>
    <w:tmpl w:val="76028928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3AD3134"/>
    <w:multiLevelType w:val="hybridMultilevel"/>
    <w:tmpl w:val="3C0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47B7"/>
    <w:multiLevelType w:val="hybridMultilevel"/>
    <w:tmpl w:val="ED56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969"/>
    <w:multiLevelType w:val="hybridMultilevel"/>
    <w:tmpl w:val="27A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3BDA"/>
    <w:multiLevelType w:val="hybridMultilevel"/>
    <w:tmpl w:val="AF3C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B3FD9"/>
    <w:multiLevelType w:val="hybridMultilevel"/>
    <w:tmpl w:val="4274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2B42"/>
    <w:multiLevelType w:val="hybridMultilevel"/>
    <w:tmpl w:val="73DC5972"/>
    <w:lvl w:ilvl="0" w:tplc="4CA49B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E228D"/>
    <w:multiLevelType w:val="hybridMultilevel"/>
    <w:tmpl w:val="962C8B88"/>
    <w:lvl w:ilvl="0" w:tplc="66E0227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17766"/>
    <w:multiLevelType w:val="hybridMultilevel"/>
    <w:tmpl w:val="98FA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35DE5"/>
    <w:multiLevelType w:val="hybridMultilevel"/>
    <w:tmpl w:val="E00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458C"/>
    <w:multiLevelType w:val="hybridMultilevel"/>
    <w:tmpl w:val="C0A4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14E60"/>
    <w:multiLevelType w:val="hybridMultilevel"/>
    <w:tmpl w:val="DDCEA31C"/>
    <w:lvl w:ilvl="0" w:tplc="4CA49B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C3"/>
    <w:rsid w:val="00024877"/>
    <w:rsid w:val="00075C74"/>
    <w:rsid w:val="000903AF"/>
    <w:rsid w:val="000A2BE7"/>
    <w:rsid w:val="000A34D7"/>
    <w:rsid w:val="000B072B"/>
    <w:rsid w:val="000D2C46"/>
    <w:rsid w:val="000E4EE7"/>
    <w:rsid w:val="000E7939"/>
    <w:rsid w:val="00105840"/>
    <w:rsid w:val="00113243"/>
    <w:rsid w:val="0012446D"/>
    <w:rsid w:val="001F71F1"/>
    <w:rsid w:val="00203B79"/>
    <w:rsid w:val="002831F3"/>
    <w:rsid w:val="002940BB"/>
    <w:rsid w:val="002A386C"/>
    <w:rsid w:val="002A6537"/>
    <w:rsid w:val="002A6635"/>
    <w:rsid w:val="002A73BB"/>
    <w:rsid w:val="002D56D9"/>
    <w:rsid w:val="002D5E3B"/>
    <w:rsid w:val="002F3C86"/>
    <w:rsid w:val="00352438"/>
    <w:rsid w:val="0036377C"/>
    <w:rsid w:val="00382B7A"/>
    <w:rsid w:val="003A4E3F"/>
    <w:rsid w:val="003B1258"/>
    <w:rsid w:val="003C0106"/>
    <w:rsid w:val="003D5117"/>
    <w:rsid w:val="003D796D"/>
    <w:rsid w:val="004024E9"/>
    <w:rsid w:val="00462072"/>
    <w:rsid w:val="00477AE4"/>
    <w:rsid w:val="00505D83"/>
    <w:rsid w:val="00523BFE"/>
    <w:rsid w:val="005568DF"/>
    <w:rsid w:val="00593257"/>
    <w:rsid w:val="00597CA1"/>
    <w:rsid w:val="005B5D98"/>
    <w:rsid w:val="005D0E82"/>
    <w:rsid w:val="005D4286"/>
    <w:rsid w:val="005D6204"/>
    <w:rsid w:val="005F3CAE"/>
    <w:rsid w:val="00675D14"/>
    <w:rsid w:val="006B60D6"/>
    <w:rsid w:val="006C08BC"/>
    <w:rsid w:val="006D5990"/>
    <w:rsid w:val="006F00D7"/>
    <w:rsid w:val="007300C7"/>
    <w:rsid w:val="00733B01"/>
    <w:rsid w:val="00746C49"/>
    <w:rsid w:val="0076419A"/>
    <w:rsid w:val="00766A79"/>
    <w:rsid w:val="00767444"/>
    <w:rsid w:val="007C263F"/>
    <w:rsid w:val="007C351A"/>
    <w:rsid w:val="008256D5"/>
    <w:rsid w:val="00881264"/>
    <w:rsid w:val="008A7D04"/>
    <w:rsid w:val="008C2C7B"/>
    <w:rsid w:val="008C786A"/>
    <w:rsid w:val="008E1E56"/>
    <w:rsid w:val="008E4822"/>
    <w:rsid w:val="008E56ED"/>
    <w:rsid w:val="00911020"/>
    <w:rsid w:val="009242D6"/>
    <w:rsid w:val="0094206F"/>
    <w:rsid w:val="00950F84"/>
    <w:rsid w:val="00957483"/>
    <w:rsid w:val="00970C49"/>
    <w:rsid w:val="009713C3"/>
    <w:rsid w:val="00974D72"/>
    <w:rsid w:val="009944D8"/>
    <w:rsid w:val="009C571A"/>
    <w:rsid w:val="009E5F16"/>
    <w:rsid w:val="009F24CC"/>
    <w:rsid w:val="009F5807"/>
    <w:rsid w:val="00A15B79"/>
    <w:rsid w:val="00A16E9B"/>
    <w:rsid w:val="00A22052"/>
    <w:rsid w:val="00A34669"/>
    <w:rsid w:val="00A36A8C"/>
    <w:rsid w:val="00A573E4"/>
    <w:rsid w:val="00A76575"/>
    <w:rsid w:val="00AE7928"/>
    <w:rsid w:val="00B1456B"/>
    <w:rsid w:val="00BB74C3"/>
    <w:rsid w:val="00BC321D"/>
    <w:rsid w:val="00BC6FBD"/>
    <w:rsid w:val="00BE4A26"/>
    <w:rsid w:val="00BF29F7"/>
    <w:rsid w:val="00CC4400"/>
    <w:rsid w:val="00D36FE1"/>
    <w:rsid w:val="00D46F13"/>
    <w:rsid w:val="00DC1E05"/>
    <w:rsid w:val="00DD2C8B"/>
    <w:rsid w:val="00E3525A"/>
    <w:rsid w:val="00E44462"/>
    <w:rsid w:val="00E663BE"/>
    <w:rsid w:val="00E66D01"/>
    <w:rsid w:val="00F47E14"/>
    <w:rsid w:val="00F65EA3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C091B"/>
  <w14:defaultImageDpi w14:val="300"/>
  <w15:docId w15:val="{D1B3A449-6B6F-4745-A629-731E1A4D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257"/>
    <w:pPr>
      <w:jc w:val="both"/>
    </w:pPr>
    <w:rPr>
      <w:rFonts w:asciiTheme="majorHAnsi" w:hAnsiTheme="majorHAnsi" w:cstheme="maj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96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96D"/>
    <w:pPr>
      <w:keepNext/>
      <w:keepLines/>
      <w:spacing w:before="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96D"/>
    <w:pPr>
      <w:keepNext/>
      <w:keepLines/>
      <w:spacing w:before="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BF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38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15B79"/>
  </w:style>
  <w:style w:type="character" w:customStyle="1" w:styleId="FootnoteTextChar">
    <w:name w:val="Footnote Text Char"/>
    <w:basedOn w:val="DefaultParagraphFont"/>
    <w:link w:val="FootnoteText"/>
    <w:uiPriority w:val="99"/>
    <w:rsid w:val="00A15B79"/>
  </w:style>
  <w:style w:type="character" w:styleId="FootnoteReference">
    <w:name w:val="footnote reference"/>
    <w:basedOn w:val="DefaultParagraphFont"/>
    <w:uiPriority w:val="99"/>
    <w:unhideWhenUsed/>
    <w:rsid w:val="00A15B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79"/>
  </w:style>
  <w:style w:type="paragraph" w:styleId="Footer">
    <w:name w:val="footer"/>
    <w:basedOn w:val="Normal"/>
    <w:link w:val="FooterChar"/>
    <w:uiPriority w:val="99"/>
    <w:unhideWhenUsed/>
    <w:rsid w:val="00A1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79"/>
  </w:style>
  <w:style w:type="character" w:styleId="UnresolvedMention">
    <w:name w:val="Unresolved Mention"/>
    <w:basedOn w:val="DefaultParagraphFont"/>
    <w:uiPriority w:val="99"/>
    <w:semiHidden/>
    <w:unhideWhenUsed/>
    <w:rsid w:val="00AE7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28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AE7928"/>
  </w:style>
  <w:style w:type="table" w:styleId="TableGrid">
    <w:name w:val="Table Grid"/>
    <w:basedOn w:val="TableNormal"/>
    <w:uiPriority w:val="59"/>
    <w:rsid w:val="008E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2940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D796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D796D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D796D"/>
    <w:rPr>
      <w:rFonts w:asciiTheme="majorHAnsi" w:eastAsiaTheme="majorEastAsia" w:hAnsiTheme="majorHAnsi" w:cstheme="maj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mesvalley.hee.nhs.uk/resources-information/trainee-information/training-options/less-than-full-time-training-ltftt/" TargetMode="External"/><Relationship Id="rId13" Type="http://schemas.openxmlformats.org/officeDocument/2006/relationships/hyperlink" Target="https://www.nhsemployers.org/sites/default/files/media/NHS-doctors-and-dentists-in-training-eng-tcs-v9_0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hsemployers.org/-/media/Employers/Publications/NHSE-BMA-Good-rostering-170518-final.pdf" TargetMode="External"/><Relationship Id="rId17" Type="http://schemas.openxmlformats.org/officeDocument/2006/relationships/hyperlink" Target="https://www.acas.org.uk/maternity-paternity-and-adoption-leave-and-pa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hsemployers.org/tchandboo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tft@oxdat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hamesvalley.hee.nhs.uk/resources-information/trainee-information/study-leave-for-doctor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hamesvalley.hee.nhs.uk/resources-information/trainee-information/study-leave-for-doctors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xdat.com/ltftoop" TargetMode="External"/><Relationship Id="rId14" Type="http://schemas.openxmlformats.org/officeDocument/2006/relationships/hyperlink" Target="https://www.copmed.org.uk/gold-guide-8th-edition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F02D-BF27-49CE-8D3F-ADDD5ED2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Soren Kudsk-Iversen</cp:lastModifiedBy>
  <cp:revision>5</cp:revision>
  <dcterms:created xsi:type="dcterms:W3CDTF">2021-10-04T09:14:00Z</dcterms:created>
  <dcterms:modified xsi:type="dcterms:W3CDTF">2021-10-04T19:55:00Z</dcterms:modified>
</cp:coreProperties>
</file>